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8F02CC" w14:textId="7A38A8CD" w:rsidR="00297B6A" w:rsidRPr="00AD6903" w:rsidRDefault="00CF7A8A" w:rsidP="00CF7A8A">
      <w:pPr>
        <w:pStyle w:val="aff0"/>
      </w:pPr>
      <w:r w:rsidRPr="00CF7A8A">
        <w:t>Supplementary material</w:t>
      </w:r>
    </w:p>
    <w:p w14:paraId="064C566E" w14:textId="77777777" w:rsidR="00CF7A8A" w:rsidRDefault="00CF7A8A" w:rsidP="00CF7A8A">
      <w:pPr>
        <w:ind w:firstLine="422"/>
        <w:rPr>
          <w:b/>
        </w:rPr>
      </w:pPr>
    </w:p>
    <w:p w14:paraId="286B1325" w14:textId="0A2FFE4E" w:rsidR="00297B6A" w:rsidRPr="00967076" w:rsidRDefault="00297B6A" w:rsidP="00C259F9">
      <w:pPr>
        <w:pStyle w:val="af6"/>
      </w:pPr>
      <w:r w:rsidRPr="008614E5">
        <w:t xml:space="preserve">Supplementary </w:t>
      </w:r>
      <w:r w:rsidR="00CF7A8A">
        <w:t xml:space="preserve">material </w:t>
      </w:r>
      <w:r w:rsidRPr="008614E5">
        <w:t>1. Determination of pazopanib plasma concentrations.</w:t>
      </w:r>
    </w:p>
    <w:p w14:paraId="2ECA2D69" w14:textId="0EBBAFA1" w:rsidR="00320D56" w:rsidRDefault="00297B6A" w:rsidP="00CF7A8A">
      <w:pPr>
        <w:ind w:firstLine="420"/>
        <w:rPr>
          <w:rStyle w:val="Aucun"/>
        </w:rPr>
      </w:pPr>
      <w:r w:rsidRPr="00967ADD">
        <w:rPr>
          <w:lang w:val="en-GB"/>
        </w:rPr>
        <w:t xml:space="preserve">Blood </w:t>
      </w:r>
      <w:r w:rsidRPr="00967ADD">
        <w:rPr>
          <w:rFonts w:eastAsia="Calibri"/>
        </w:rPr>
        <w:t>samples</w:t>
      </w:r>
      <w:r w:rsidRPr="00967ADD">
        <w:rPr>
          <w:lang w:val="en-GB"/>
        </w:rPr>
        <w:t xml:space="preserve"> (5 mL) were collected in heparinized tubes. Plasma was</w:t>
      </w:r>
      <w:r w:rsidR="00B61C3A">
        <w:rPr>
          <w:lang w:val="en-GB"/>
        </w:rPr>
        <w:t xml:space="preserve"> separated by centrifugation (4</w:t>
      </w:r>
      <w:r w:rsidRPr="00967ADD">
        <w:rPr>
          <w:lang w:val="en-GB"/>
        </w:rPr>
        <w:t xml:space="preserve">000 rpm, 10 minutes) and stored at </w:t>
      </w:r>
      <w:r w:rsidR="00B61C3A" w:rsidRPr="00A736F3">
        <w:rPr>
          <w:rFonts w:eastAsiaTheme="minorEastAsia"/>
          <w:sz w:val="18"/>
          <w:szCs w:val="18"/>
        </w:rPr>
        <w:t>−</w:t>
      </w:r>
      <w:r w:rsidRPr="00967ADD">
        <w:rPr>
          <w:lang w:val="en-GB"/>
        </w:rPr>
        <w:t>20</w:t>
      </w:r>
      <w:r w:rsidR="00B61C3A">
        <w:rPr>
          <w:lang w:val="en-GB"/>
        </w:rPr>
        <w:t xml:space="preserve"> </w:t>
      </w:r>
      <w:r w:rsidRPr="00967ADD">
        <w:rPr>
          <w:color w:val="4D5156"/>
          <w:shd w:val="clear" w:color="auto" w:fill="FFFFFF"/>
        </w:rPr>
        <w:t>°</w:t>
      </w:r>
      <w:r w:rsidRPr="00967ADD">
        <w:rPr>
          <w:lang w:val="en-GB"/>
        </w:rPr>
        <w:t xml:space="preserve">C until </w:t>
      </w:r>
      <w:r w:rsidRPr="00967ADD">
        <w:rPr>
          <w:rFonts w:eastAsia="宋体"/>
          <w:szCs w:val="20"/>
        </w:rPr>
        <w:t>analysis</w:t>
      </w:r>
      <w:r w:rsidRPr="00967ADD">
        <w:rPr>
          <w:lang w:val="en-GB"/>
        </w:rPr>
        <w:t>. Quantification of pazopanib plasma concentrations was performed using a validated liquid chromatography method coupled with mass spectrometry detection (LC-MS/MS).</w:t>
      </w:r>
      <w:r w:rsidRPr="00967ADD">
        <w:t xml:space="preserve"> Briefly, 10 µL of sample (calibrator, internal quality control (IQC) or patient sample) was spiked with 100 µL of internal standard (I.S., </w:t>
      </w:r>
      <w:r w:rsidRPr="00967ADD">
        <w:rPr>
          <w:vertAlign w:val="superscript"/>
        </w:rPr>
        <w:t>13</w:t>
      </w:r>
      <w:r w:rsidRPr="00967ADD">
        <w:t>C,</w:t>
      </w:r>
      <w:r w:rsidRPr="00967ADD">
        <w:rPr>
          <w:vertAlign w:val="superscript"/>
        </w:rPr>
        <w:t>2</w:t>
      </w:r>
      <w:r w:rsidRPr="00967ADD">
        <w:t>H</w:t>
      </w:r>
      <w:r w:rsidRPr="00967ADD">
        <w:rPr>
          <w:vertAlign w:val="subscript"/>
        </w:rPr>
        <w:t>3</w:t>
      </w:r>
      <w:r w:rsidRPr="00967ADD">
        <w:t>-Pazopanib at 1 µg/mL) and with 600 µL of acetonitrile. The mixture was vortexed for 10 seconds and centrifuged at 13,000 g for 5 minutes. The supernatant was diluted 10-fold with mobile phase (reagent A: water with 0.1% formic acid, reagent B: acetonitrile with 0.1% formic acid, (80/20, v/v)) and 10 µL were injected into the chromatographic system. The latter consisted of</w:t>
      </w:r>
      <w:r w:rsidRPr="00967ADD">
        <w:rPr>
          <w:rFonts w:eastAsia="Calibri"/>
        </w:rPr>
        <w:t xml:space="preserve"> </w:t>
      </w:r>
      <w:proofErr w:type="spellStart"/>
      <w:r w:rsidRPr="00967ADD">
        <w:rPr>
          <w:rFonts w:eastAsia="Calibri"/>
        </w:rPr>
        <w:t>ThermoSurveyor</w:t>
      </w:r>
      <w:proofErr w:type="spellEnd"/>
      <w:r w:rsidRPr="00967ADD">
        <w:rPr>
          <w:rFonts w:eastAsia="Calibri"/>
        </w:rPr>
        <w:t xml:space="preserve"> HPLC System (Thermo Electron Corporation, Les Ulis, France) with an autosampler injector </w:t>
      </w:r>
      <w:r w:rsidRPr="00967ADD">
        <w:t xml:space="preserve">maintained at 10 °C. </w:t>
      </w:r>
      <w:r w:rsidRPr="00967ADD">
        <w:rPr>
          <w:rFonts w:eastAsia="Calibri"/>
        </w:rPr>
        <w:t xml:space="preserve">The analytes were separated on a </w:t>
      </w:r>
      <w:proofErr w:type="spellStart"/>
      <w:r w:rsidRPr="00967ADD">
        <w:rPr>
          <w:rFonts w:eastAsia="Calibri"/>
        </w:rPr>
        <w:t>Kinetex</w:t>
      </w:r>
      <w:proofErr w:type="spellEnd"/>
      <w:r w:rsidRPr="00967ADD">
        <w:rPr>
          <w:rFonts w:eastAsia="Calibri"/>
        </w:rPr>
        <w:t xml:space="preserve">-PFP column (2.6 µm, 50 mm </w:t>
      </w:r>
      <w:r w:rsidR="00320D56">
        <w:rPr>
          <w:rFonts w:eastAsia="Calibri"/>
        </w:rPr>
        <w:sym w:font="Symbol" w:char="F0B4"/>
      </w:r>
      <w:r w:rsidRPr="00967ADD">
        <w:rPr>
          <w:rFonts w:eastAsia="Calibri"/>
        </w:rPr>
        <w:t xml:space="preserve"> 2.1 mm i.d., Phenomenex) maintained at 30</w:t>
      </w:r>
      <w:r w:rsidR="00320D56">
        <w:rPr>
          <w:rFonts w:eastAsia="Calibri"/>
        </w:rPr>
        <w:t xml:space="preserve"> </w:t>
      </w:r>
      <w:r w:rsidRPr="00967ADD">
        <w:rPr>
          <w:rFonts w:eastAsia="Calibri"/>
        </w:rPr>
        <w:t>°C. The mobile phase consisted of a mixture of reagent A (water with 0.1% formic acid) and reagent B (acetonitrile with 0.1% formic acid) delivered at a flow rate of 200 µL/min in gradient mode. The gradient started at 80% of reagent A, then changed gradually to 5% of reagent A between minutes 1 to 2.5 and was maintained at this level for the next 2 minutes. Then, the gradient changed back to 80% of reagent A during the next 3.5 minutes, for a total run time of 8 minutes. The detection of analytes was acquired using a Quantum-Ultra (</w:t>
      </w:r>
      <w:proofErr w:type="spellStart"/>
      <w:r w:rsidRPr="00967ADD">
        <w:rPr>
          <w:rFonts w:eastAsia="Calibri"/>
        </w:rPr>
        <w:t>ThermoElectron</w:t>
      </w:r>
      <w:proofErr w:type="spellEnd"/>
      <w:r w:rsidRPr="00967ADD">
        <w:rPr>
          <w:rFonts w:eastAsia="Calibri"/>
        </w:rPr>
        <w:t>, San Jose, USA) triple quadrupole mass spectrometer equipped with an Ion Max API source. The instrument was operated with electrospray (ESI) source, in positive ion mode and the [M+</w:t>
      </w:r>
      <w:proofErr w:type="gramStart"/>
      <w:r w:rsidRPr="00967ADD">
        <w:rPr>
          <w:rFonts w:eastAsia="Calibri"/>
        </w:rPr>
        <w:t>H]</w:t>
      </w:r>
      <w:r w:rsidRPr="00967ADD">
        <w:rPr>
          <w:rFonts w:eastAsia="Calibri"/>
          <w:vertAlign w:val="superscript"/>
        </w:rPr>
        <w:t>+</w:t>
      </w:r>
      <w:proofErr w:type="gramEnd"/>
      <w:r w:rsidRPr="00967ADD">
        <w:rPr>
          <w:rFonts w:eastAsia="Calibri"/>
        </w:rPr>
        <w:t xml:space="preserve"> ions for pazopanib and I.S. were quantitated in selected reaction monitoring mode using the transition m/z 438.2</w:t>
      </w:r>
      <w:r w:rsidR="00320D56">
        <w:rPr>
          <w:rFonts w:eastAsia="Calibri"/>
        </w:rPr>
        <w:t xml:space="preserve"> </w:t>
      </w:r>
      <w:r w:rsidRPr="00967ADD">
        <w:rPr>
          <w:rFonts w:eastAsia="Calibri"/>
        </w:rPr>
        <w:t>→</w:t>
      </w:r>
      <w:r w:rsidR="00320D56">
        <w:rPr>
          <w:rFonts w:eastAsia="Calibri"/>
        </w:rPr>
        <w:t xml:space="preserve"> </w:t>
      </w:r>
      <w:r w:rsidRPr="00967ADD">
        <w:rPr>
          <w:rFonts w:eastAsia="Calibri"/>
        </w:rPr>
        <w:t>357.2 and 442.2</w:t>
      </w:r>
      <w:r w:rsidR="00320D56">
        <w:rPr>
          <w:rFonts w:eastAsia="Calibri"/>
        </w:rPr>
        <w:t xml:space="preserve"> </w:t>
      </w:r>
      <w:r w:rsidRPr="00967ADD">
        <w:rPr>
          <w:rFonts w:eastAsia="Calibri"/>
        </w:rPr>
        <w:t>→</w:t>
      </w:r>
      <w:r w:rsidR="00320D56">
        <w:rPr>
          <w:rFonts w:eastAsia="Calibri"/>
        </w:rPr>
        <w:t xml:space="preserve"> </w:t>
      </w:r>
      <w:r w:rsidRPr="00967ADD">
        <w:rPr>
          <w:rFonts w:eastAsia="Calibri"/>
        </w:rPr>
        <w:t xml:space="preserve">361.2, respectively. </w:t>
      </w:r>
      <w:r w:rsidRPr="00967ADD">
        <w:t>Calibration curves were prepared in the range: 5</w:t>
      </w:r>
      <w:r w:rsidR="00320D56">
        <w:t>–</w:t>
      </w:r>
      <w:r w:rsidRPr="00967ADD">
        <w:t>80 µg/</w:t>
      </w:r>
      <w:proofErr w:type="spellStart"/>
      <w:r w:rsidRPr="00967ADD">
        <w:t>mL.</w:t>
      </w:r>
      <w:proofErr w:type="spellEnd"/>
      <w:r w:rsidRPr="00967ADD">
        <w:t xml:space="preserve"> </w:t>
      </w:r>
      <w:r w:rsidRPr="00967ADD">
        <w:rPr>
          <w:rStyle w:val="Aucun"/>
        </w:rPr>
        <w:t xml:space="preserve">Within-day imprecision and accuracy were for two levels of IQC: 3.2% and 99.8% for 12.5 </w:t>
      </w:r>
      <w:r w:rsidRPr="00967ADD">
        <w:t>µ</w:t>
      </w:r>
      <w:r w:rsidRPr="00967ADD">
        <w:rPr>
          <w:rStyle w:val="Aucun"/>
        </w:rPr>
        <w:t xml:space="preserve">g/mL and 2.9% and 99.5% for 50 </w:t>
      </w:r>
      <w:r w:rsidRPr="00967ADD">
        <w:t>µ</w:t>
      </w:r>
      <w:r w:rsidRPr="00967ADD">
        <w:rPr>
          <w:rStyle w:val="Aucun"/>
        </w:rPr>
        <w:t xml:space="preserve">g/mL, respectively. Between-day imprecision and accuracy were 7.5% and 100.5% for 12.5 </w:t>
      </w:r>
      <w:r w:rsidRPr="00967ADD">
        <w:t>µ</w:t>
      </w:r>
      <w:r w:rsidRPr="00967ADD">
        <w:rPr>
          <w:rStyle w:val="Aucun"/>
        </w:rPr>
        <w:t xml:space="preserve">g/mL and 4.8% and 100.0% for 50 </w:t>
      </w:r>
      <w:r w:rsidRPr="00967ADD">
        <w:t>µ</w:t>
      </w:r>
      <w:r w:rsidRPr="00967ADD">
        <w:rPr>
          <w:rStyle w:val="Aucun"/>
        </w:rPr>
        <w:t xml:space="preserve">g/mL, respectively. The lower limit of quantification (LLOQ) was </w:t>
      </w:r>
      <w:r w:rsidRPr="00967ADD">
        <w:t xml:space="preserve">5 µg/mL </w:t>
      </w:r>
      <w:r w:rsidRPr="00967ADD">
        <w:rPr>
          <w:rStyle w:val="Aucun"/>
        </w:rPr>
        <w:t>with between-day imprecision and accuracy of 3.3% and 102.3%, respectively.</w:t>
      </w:r>
    </w:p>
    <w:p w14:paraId="514D71C1" w14:textId="77777777" w:rsidR="00320D56" w:rsidRDefault="00320D56">
      <w:pPr>
        <w:widowControl/>
        <w:ind w:firstLineChars="0" w:firstLine="0"/>
        <w:jc w:val="left"/>
        <w:rPr>
          <w:rStyle w:val="Aucun"/>
        </w:rPr>
      </w:pPr>
      <w:r>
        <w:rPr>
          <w:rStyle w:val="Aucun"/>
        </w:rPr>
        <w:br w:type="page"/>
      </w:r>
    </w:p>
    <w:p w14:paraId="45612E74" w14:textId="64857A9A" w:rsidR="00297B6A" w:rsidRDefault="00297B6A" w:rsidP="00C259F9">
      <w:pPr>
        <w:pStyle w:val="af6"/>
        <w:rPr>
          <w:lang w:val="en-GB"/>
        </w:rPr>
      </w:pPr>
      <w:r w:rsidRPr="004B7ACE">
        <w:rPr>
          <w:lang w:val="en-GB"/>
        </w:rPr>
        <w:lastRenderedPageBreak/>
        <w:t xml:space="preserve">Supplementary </w:t>
      </w:r>
      <w:r w:rsidR="00025C92">
        <w:rPr>
          <w:lang w:val="en-GB"/>
        </w:rPr>
        <w:t xml:space="preserve">material </w:t>
      </w:r>
      <w:r w:rsidRPr="004B7ACE">
        <w:rPr>
          <w:lang w:val="en-GB"/>
        </w:rPr>
        <w:t>2.</w:t>
      </w:r>
      <w:r>
        <w:rPr>
          <w:lang w:val="en-GB"/>
        </w:rPr>
        <w:t xml:space="preserve"> </w:t>
      </w:r>
      <w:r w:rsidRPr="004B7ACE">
        <w:rPr>
          <w:lang w:val="en-GB"/>
        </w:rPr>
        <w:t>Covariate analysis</w:t>
      </w:r>
      <w:r>
        <w:rPr>
          <w:lang w:val="en-GB"/>
        </w:rPr>
        <w:t xml:space="preserve"> and model evaluation and validation criteria</w:t>
      </w:r>
      <w:r w:rsidRPr="004B7ACE">
        <w:rPr>
          <w:lang w:val="en-GB"/>
        </w:rPr>
        <w:t>.</w:t>
      </w:r>
    </w:p>
    <w:p w14:paraId="3C3FE578" w14:textId="77777777" w:rsidR="00297B6A" w:rsidRPr="00025C92" w:rsidRDefault="00297B6A" w:rsidP="00025C92">
      <w:pPr>
        <w:ind w:firstLine="422"/>
        <w:rPr>
          <w:b/>
          <w:lang w:val="en-GB"/>
        </w:rPr>
      </w:pPr>
      <w:r w:rsidRPr="00025C92">
        <w:rPr>
          <w:b/>
          <w:lang w:val="en-GB"/>
        </w:rPr>
        <w:t>Covariate analysis</w:t>
      </w:r>
    </w:p>
    <w:p w14:paraId="7A52F173" w14:textId="15CA1519" w:rsidR="00297B6A" w:rsidRPr="00B07049" w:rsidRDefault="00297B6A" w:rsidP="00025C92">
      <w:pPr>
        <w:ind w:firstLine="420"/>
        <w:rPr>
          <w:rFonts w:eastAsiaTheme="minorEastAsia"/>
          <w:lang w:val="en-GB"/>
        </w:rPr>
      </w:pPr>
      <w:r w:rsidRPr="004B7ACE">
        <w:rPr>
          <w:lang w:val="en-GB"/>
        </w:rPr>
        <w:t xml:space="preserve">The impact of continuous </w:t>
      </w:r>
      <w:r w:rsidRPr="000326D8">
        <w:t>covariates</w:t>
      </w:r>
      <w:r w:rsidRPr="004B7ACE">
        <w:rPr>
          <w:lang w:val="en-GB"/>
        </w:rPr>
        <w:t xml:space="preserve"> was tested in the base </w:t>
      </w:r>
      <w:proofErr w:type="spellStart"/>
      <w:r w:rsidRPr="004B7ACE">
        <w:rPr>
          <w:lang w:val="en-GB"/>
        </w:rPr>
        <w:t>popPK</w:t>
      </w:r>
      <w:proofErr w:type="spellEnd"/>
      <w:r w:rsidRPr="004B7ACE">
        <w:rPr>
          <w:lang w:val="en-GB"/>
        </w:rPr>
        <w:t xml:space="preserve"> model using power equation as follows:</w:t>
      </w:r>
    </w:p>
    <w:p w14:paraId="5B05C635" w14:textId="6D8B2F4B" w:rsidR="00297B6A" w:rsidRPr="00967ADD" w:rsidRDefault="00F51C18" w:rsidP="00B07049">
      <w:pPr>
        <w:ind w:firstLine="420"/>
        <w:jc w:val="center"/>
        <w:rPr>
          <w:color w:val="000000" w:themeColor="text1"/>
        </w:rPr>
      </w:pPr>
      <m:oMath>
        <m:sSub>
          <m:sSubPr>
            <m:ctrlPr>
              <w:rPr>
                <w:rFonts w:ascii="Cambria Math" w:hAnsi="Cambria Math"/>
                <w:i/>
                <w:color w:val="000000" w:themeColor="text1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</w:rPr>
              <m:t>i</m:t>
            </m:r>
          </m:sub>
        </m:sSub>
        <m:r>
          <w:rPr>
            <w:rFonts w:ascii="Cambria Math" w:hAnsi="Cambria Math"/>
            <w:color w:val="000000" w:themeColor="text1"/>
          </w:rPr>
          <m:t xml:space="preserve">= </m:t>
        </m:r>
        <m:sSub>
          <m:sSubPr>
            <m:ctrlPr>
              <w:rPr>
                <w:rFonts w:ascii="Cambria Math" w:hAnsi="Cambria Math"/>
                <w:i/>
                <w:color w:val="000000" w:themeColor="text1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</w:rPr>
              <m:t>TV</m:t>
            </m:r>
          </m:sub>
        </m:sSub>
        <m:r>
          <w:rPr>
            <w:rFonts w:ascii="Cambria Math" w:hAnsi="Cambria Math"/>
            <w:color w:val="000000" w:themeColor="text1"/>
          </w:rPr>
          <m:t xml:space="preserve"> ∙ (</m:t>
        </m:r>
        <m:sSup>
          <m:sSupPr>
            <m:ctrlPr>
              <w:rPr>
                <w:rFonts w:ascii="Cambria Math" w:hAnsi="Cambria Math"/>
                <w:i/>
                <w:color w:val="000000" w:themeColor="text1"/>
              </w:rPr>
            </m:ctrlPr>
          </m:sSupPr>
          <m:e>
            <m:f>
              <m:fPr>
                <m:ctrlPr>
                  <w:rPr>
                    <w:rFonts w:ascii="Cambria Math" w:hAnsi="Cambria Math"/>
                    <w:i/>
                    <w:color w:val="000000" w:themeColor="text1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color w:val="000000" w:themeColor="text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</w:rPr>
                      <m:t>cov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</w:rPr>
                      <m:t>i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color w:val="000000" w:themeColor="text1"/>
                  </w:rPr>
                  <m:t>median cov</m:t>
                </m:r>
              </m:den>
            </m:f>
            <m:r>
              <w:rPr>
                <w:rFonts w:ascii="Cambria Math" w:hAnsi="Cambria Math"/>
                <w:color w:val="000000" w:themeColor="text1"/>
              </w:rPr>
              <m:t>)</m:t>
            </m:r>
          </m:e>
          <m:sup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</w:rPr>
                  <m:t>θ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</w:rPr>
                  <m:t>2</m:t>
                </m:r>
              </m:sub>
            </m:sSub>
          </m:sup>
        </m:sSup>
        <m:r>
          <w:rPr>
            <w:rFonts w:ascii="Cambria Math" w:hAnsi="Cambria Math"/>
            <w:color w:val="000000" w:themeColor="text1"/>
          </w:rPr>
          <m:t>∙</m:t>
        </m:r>
        <m:sSup>
          <m:sSupPr>
            <m:ctrlPr>
              <w:rPr>
                <w:rFonts w:ascii="Cambria Math" w:hAnsi="Cambria Math"/>
                <w:i/>
                <w:color w:val="000000" w:themeColor="text1"/>
              </w:rPr>
            </m:ctrlPr>
          </m:sSupPr>
          <m:e>
            <m:r>
              <w:rPr>
                <w:rFonts w:ascii="Cambria Math" w:hAnsi="Cambria Math"/>
                <w:color w:val="000000" w:themeColor="text1"/>
              </w:rPr>
              <m:t>e</m:t>
            </m:r>
          </m:e>
          <m:sup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</w:rPr>
                  <m:t>η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</w:rPr>
                  <m:t>i</m:t>
                </m:r>
              </m:sub>
            </m:sSub>
          </m:sup>
        </m:sSup>
        <m:r>
          <w:rPr>
            <w:rFonts w:ascii="Cambria Math" w:hAnsi="Cambria Math"/>
            <w:color w:val="000000" w:themeColor="text1"/>
          </w:rPr>
          <m:t xml:space="preserve"> </m:t>
        </m:r>
      </m:oMath>
      <w:r w:rsidR="00297B6A" w:rsidRPr="00967ADD">
        <w:t xml:space="preserve">         (1)</w:t>
      </w:r>
    </w:p>
    <w:p w14:paraId="0791BBCB" w14:textId="49C70A43" w:rsidR="00297B6A" w:rsidRPr="00F51C18" w:rsidRDefault="00297B6A" w:rsidP="00025C92">
      <w:pPr>
        <w:ind w:firstLine="420"/>
        <w:rPr>
          <w:color w:val="000000" w:themeColor="text1"/>
        </w:rPr>
      </w:pPr>
      <w:r w:rsidRPr="004B7ACE">
        <w:rPr>
          <w:color w:val="000000" w:themeColor="text1"/>
        </w:rPr>
        <w:t xml:space="preserve">Where </w:t>
      </w:r>
      <w:proofErr w:type="spellStart"/>
      <w:r w:rsidRPr="004B7ACE">
        <w:rPr>
          <w:i/>
          <w:color w:val="000000" w:themeColor="text1"/>
        </w:rPr>
        <w:t>θ</w:t>
      </w:r>
      <w:r w:rsidRPr="004B7ACE">
        <w:rPr>
          <w:i/>
          <w:color w:val="000000" w:themeColor="text1"/>
          <w:vertAlign w:val="subscript"/>
        </w:rPr>
        <w:t>i</w:t>
      </w:r>
      <w:proofErr w:type="spellEnd"/>
      <w:r w:rsidRPr="004B7ACE">
        <w:rPr>
          <w:i/>
          <w:color w:val="000000" w:themeColor="text1"/>
        </w:rPr>
        <w:t xml:space="preserve"> </w:t>
      </w:r>
      <w:r w:rsidRPr="004B7ACE">
        <w:rPr>
          <w:color w:val="000000" w:themeColor="text1"/>
        </w:rPr>
        <w:t xml:space="preserve">is the individual parameter estimate, </w:t>
      </w:r>
      <w:proofErr w:type="spellStart"/>
      <w:r w:rsidRPr="004B7ACE">
        <w:rPr>
          <w:i/>
          <w:color w:val="000000" w:themeColor="text1"/>
        </w:rPr>
        <w:t>θ</w:t>
      </w:r>
      <w:r w:rsidR="00B07049">
        <w:rPr>
          <w:i/>
          <w:color w:val="000000" w:themeColor="text1"/>
          <w:vertAlign w:val="subscript"/>
        </w:rPr>
        <w:t>TV</w:t>
      </w:r>
      <w:proofErr w:type="spellEnd"/>
      <w:r w:rsidR="00B07049" w:rsidRPr="00B07049">
        <w:rPr>
          <w:color w:val="000000" w:themeColor="text1"/>
        </w:rPr>
        <w:t xml:space="preserve"> </w:t>
      </w:r>
      <w:r w:rsidRPr="004B7ACE">
        <w:rPr>
          <w:color w:val="000000" w:themeColor="text1"/>
        </w:rPr>
        <w:t xml:space="preserve">is the typical value of the parameter in the studied population, </w:t>
      </w:r>
      <w:r w:rsidRPr="004B7ACE">
        <w:rPr>
          <w:i/>
          <w:color w:val="000000" w:themeColor="text1"/>
        </w:rPr>
        <w:t>θ</w:t>
      </w:r>
      <w:r w:rsidRPr="004B7ACE">
        <w:rPr>
          <w:i/>
          <w:color w:val="000000" w:themeColor="text1"/>
          <w:vertAlign w:val="subscript"/>
        </w:rPr>
        <w:t>2</w:t>
      </w:r>
      <w:r w:rsidRPr="004B7ACE">
        <w:rPr>
          <w:color w:val="000000" w:themeColor="text1"/>
        </w:rPr>
        <w:t xml:space="preserve"> is </w:t>
      </w:r>
      <w:r w:rsidRPr="004B7ACE">
        <w:t xml:space="preserve">the estimated effect </w:t>
      </w:r>
      <w:r w:rsidRPr="00F51C18">
        <w:t xml:space="preserve">of the covariate on the model parameter, </w:t>
      </w:r>
      <w:proofErr w:type="spellStart"/>
      <w:r w:rsidRPr="00F51C18">
        <w:rPr>
          <w:i/>
        </w:rPr>
        <w:t>cov</w:t>
      </w:r>
      <w:r w:rsidRPr="00F51C18">
        <w:rPr>
          <w:i/>
          <w:vertAlign w:val="subscript"/>
        </w:rPr>
        <w:t>i</w:t>
      </w:r>
      <w:proofErr w:type="spellEnd"/>
      <w:r w:rsidRPr="00F51C18">
        <w:t xml:space="preserve"> is the individual value of the continuous covariate and </w:t>
      </w:r>
      <w:proofErr w:type="spellStart"/>
      <w:r w:rsidRPr="00F51C18">
        <w:rPr>
          <w:i/>
        </w:rPr>
        <w:t>η</w:t>
      </w:r>
      <w:r w:rsidRPr="00F51C18">
        <w:rPr>
          <w:i/>
          <w:vertAlign w:val="subscript"/>
        </w:rPr>
        <w:t>i</w:t>
      </w:r>
      <w:proofErr w:type="spellEnd"/>
      <w:r w:rsidRPr="00F51C18">
        <w:t xml:space="preserve"> is the individual value of the random effect associated to the parameter.</w:t>
      </w:r>
    </w:p>
    <w:p w14:paraId="7CDE1ABB" w14:textId="62808D67" w:rsidR="00297B6A" w:rsidRPr="000326D8" w:rsidRDefault="00297B6A" w:rsidP="00025C92">
      <w:pPr>
        <w:ind w:firstLine="420"/>
        <w:rPr>
          <w:lang w:val="en-GB"/>
        </w:rPr>
      </w:pPr>
      <w:r w:rsidRPr="00F51C18">
        <w:rPr>
          <w:lang w:val="en-GB"/>
        </w:rPr>
        <w:t xml:space="preserve">The categorical covariates (ECOG </w:t>
      </w:r>
      <w:r w:rsidR="00C152FB" w:rsidRPr="00F51C18">
        <w:rPr>
          <w:lang w:val="en-GB"/>
        </w:rPr>
        <w:t xml:space="preserve">(Eastern Cooperative Oncology Group) </w:t>
      </w:r>
      <w:r w:rsidRPr="00F51C18">
        <w:rPr>
          <w:lang w:val="en-GB"/>
        </w:rPr>
        <w:t xml:space="preserve">performance status, genetic polymorphisms, concomitant intake of proton pump inhibitors </w:t>
      </w:r>
      <w:r w:rsidR="00B07049" w:rsidRPr="00F51C18">
        <w:rPr>
          <w:lang w:val="en-GB"/>
        </w:rPr>
        <w:t>(</w:t>
      </w:r>
      <w:r w:rsidRPr="00F51C18">
        <w:rPr>
          <w:lang w:val="en-GB"/>
        </w:rPr>
        <w:t>PPI</w:t>
      </w:r>
      <w:r w:rsidR="00B07049" w:rsidRPr="00F51C18">
        <w:rPr>
          <w:lang w:val="en-GB"/>
        </w:rPr>
        <w:t>)</w:t>
      </w:r>
      <w:r w:rsidRPr="00F51C18">
        <w:rPr>
          <w:lang w:val="en-GB"/>
        </w:rPr>
        <w:t xml:space="preserve">) were tested on CL/F, </w:t>
      </w:r>
      <w:proofErr w:type="spellStart"/>
      <w:r w:rsidRPr="00F51C18">
        <w:rPr>
          <w:lang w:val="en-GB"/>
        </w:rPr>
        <w:t>Vp</w:t>
      </w:r>
      <w:proofErr w:type="spellEnd"/>
      <w:r w:rsidRPr="00F51C18">
        <w:rPr>
          <w:lang w:val="en-GB"/>
        </w:rPr>
        <w:t xml:space="preserve">/F and </w:t>
      </w:r>
      <w:proofErr w:type="spellStart"/>
      <w:r w:rsidRPr="00F51C18">
        <w:rPr>
          <w:lang w:val="en-GB"/>
        </w:rPr>
        <w:t>F</w:t>
      </w:r>
      <w:r w:rsidRPr="00F51C18">
        <w:rPr>
          <w:vertAlign w:val="subscript"/>
          <w:lang w:val="en-GB"/>
        </w:rPr>
        <w:t>rel</w:t>
      </w:r>
      <w:proofErr w:type="spellEnd"/>
      <w:r w:rsidRPr="00F51C18">
        <w:rPr>
          <w:lang w:val="en-GB"/>
        </w:rPr>
        <w:t xml:space="preserve"> by estimating the fractional change of the parameter due to the presence of th</w:t>
      </w:r>
      <w:r w:rsidRPr="004B7ACE">
        <w:rPr>
          <w:lang w:val="en-GB"/>
        </w:rPr>
        <w:t>e categorial covariate relative to the reference group as follows:</w:t>
      </w:r>
    </w:p>
    <w:p w14:paraId="6FB47CC7" w14:textId="684D0ECE" w:rsidR="00297B6A" w:rsidRPr="00967ADD" w:rsidRDefault="00F51C18" w:rsidP="00B07049">
      <w:pPr>
        <w:ind w:firstLine="420"/>
        <w:jc w:val="center"/>
        <w:rPr>
          <w:color w:val="000000" w:themeColor="text1"/>
        </w:rPr>
      </w:pPr>
      <m:oMath>
        <m:sSub>
          <m:sSubPr>
            <m:ctrlPr>
              <w:rPr>
                <w:rFonts w:ascii="Cambria Math" w:hAnsi="Cambria Math"/>
                <w:i/>
                <w:color w:val="000000" w:themeColor="text1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</w:rPr>
              <m:t>i</m:t>
            </m:r>
          </m:sub>
        </m:sSub>
        <m:r>
          <w:rPr>
            <w:rFonts w:ascii="Cambria Math" w:hAnsi="Cambria Math"/>
            <w:color w:val="000000" w:themeColor="text1"/>
          </w:rPr>
          <m:t xml:space="preserve">= </m:t>
        </m:r>
        <m:sSub>
          <m:sSubPr>
            <m:ctrlPr>
              <w:rPr>
                <w:rFonts w:ascii="Cambria Math" w:hAnsi="Cambria Math"/>
                <w:i/>
                <w:color w:val="000000" w:themeColor="text1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</w:rPr>
              <m:t>TV</m:t>
            </m:r>
          </m:sub>
        </m:sSub>
        <m:r>
          <w:rPr>
            <w:rFonts w:ascii="Cambria Math" w:hAnsi="Cambria Math"/>
            <w:color w:val="000000" w:themeColor="text1"/>
          </w:rPr>
          <m:t xml:space="preserve"> ∙ </m:t>
        </m:r>
        <m:sSubSup>
          <m:sSubSupPr>
            <m:ctrlPr>
              <w:rPr>
                <w:rFonts w:ascii="Cambria Math" w:hAnsi="Cambria Math"/>
                <w:i/>
                <w:color w:val="000000" w:themeColor="text1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</w:rPr>
              <m:t>θ</m:t>
            </m:r>
          </m:e>
          <m:sub>
            <m:r>
              <w:rPr>
                <w:rFonts w:ascii="Cambria Math" w:hAnsi="Cambria Math"/>
                <w:color w:val="000000" w:themeColor="text1"/>
              </w:rPr>
              <m:t>2</m:t>
            </m:r>
          </m:sub>
          <m:sup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</w:rPr>
                  <m:t>cov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</w:rPr>
                  <m:t>i</m:t>
                </m:r>
              </m:sub>
            </m:sSub>
          </m:sup>
        </m:sSubSup>
        <m:r>
          <w:rPr>
            <w:rFonts w:ascii="Cambria Math" w:hAnsi="Cambria Math"/>
            <w:color w:val="000000" w:themeColor="text1"/>
          </w:rPr>
          <m:t xml:space="preserve"> ∙</m:t>
        </m:r>
        <m:sSup>
          <m:sSupPr>
            <m:ctrlPr>
              <w:rPr>
                <w:rFonts w:ascii="Cambria Math" w:hAnsi="Cambria Math"/>
                <w:i/>
                <w:color w:val="000000" w:themeColor="text1"/>
              </w:rPr>
            </m:ctrlPr>
          </m:sSupPr>
          <m:e>
            <m:r>
              <w:rPr>
                <w:rFonts w:ascii="Cambria Math" w:hAnsi="Cambria Math"/>
                <w:color w:val="000000" w:themeColor="text1"/>
              </w:rPr>
              <m:t>e</m:t>
            </m:r>
          </m:e>
          <m:sup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</w:rPr>
                  <m:t>η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</w:rPr>
                  <m:t>i</m:t>
                </m:r>
              </m:sub>
            </m:sSub>
          </m:sup>
        </m:sSup>
        <m:r>
          <w:rPr>
            <w:rFonts w:ascii="Cambria Math" w:hAnsi="Cambria Math"/>
            <w:color w:val="000000" w:themeColor="text1"/>
          </w:rPr>
          <m:t xml:space="preserve"> </m:t>
        </m:r>
      </m:oMath>
      <w:r w:rsidR="00297B6A" w:rsidRPr="00967ADD">
        <w:t xml:space="preserve">   </w:t>
      </w:r>
      <w:r w:rsidR="00297B6A">
        <w:t xml:space="preserve"> </w:t>
      </w:r>
      <w:r w:rsidR="00297B6A" w:rsidRPr="00967ADD">
        <w:t xml:space="preserve">        (</w:t>
      </w:r>
      <w:r w:rsidR="00C152FB">
        <w:t>2</w:t>
      </w:r>
      <w:r w:rsidR="00297B6A" w:rsidRPr="00967ADD">
        <w:t>)</w:t>
      </w:r>
    </w:p>
    <w:p w14:paraId="7A23E071" w14:textId="77777777" w:rsidR="00297B6A" w:rsidRDefault="00297B6A" w:rsidP="00025C92">
      <w:pPr>
        <w:ind w:firstLine="420"/>
        <w:rPr>
          <w:highlight w:val="yellow"/>
          <w:lang w:val="en-GB"/>
        </w:rPr>
      </w:pPr>
      <w:r w:rsidRPr="004B7ACE">
        <w:rPr>
          <w:color w:val="000000" w:themeColor="text1"/>
        </w:rPr>
        <w:t xml:space="preserve">Where </w:t>
      </w:r>
      <w:proofErr w:type="spellStart"/>
      <w:r w:rsidRPr="004B7ACE">
        <w:rPr>
          <w:i/>
          <w:color w:val="000000" w:themeColor="text1"/>
        </w:rPr>
        <w:t>cov</w:t>
      </w:r>
      <w:r w:rsidRPr="004B7ACE">
        <w:rPr>
          <w:i/>
          <w:color w:val="000000" w:themeColor="text1"/>
          <w:vertAlign w:val="subscript"/>
        </w:rPr>
        <w:t>i</w:t>
      </w:r>
      <w:proofErr w:type="spellEnd"/>
      <w:r w:rsidRPr="004B7ACE">
        <w:rPr>
          <w:i/>
          <w:color w:val="000000" w:themeColor="text1"/>
        </w:rPr>
        <w:t xml:space="preserve"> </w:t>
      </w:r>
      <w:r w:rsidRPr="004B7ACE">
        <w:rPr>
          <w:color w:val="000000" w:themeColor="text1"/>
        </w:rPr>
        <w:t xml:space="preserve">is </w:t>
      </w:r>
      <w:r w:rsidRPr="00EA7BE0">
        <w:rPr>
          <w:color w:val="000000" w:themeColor="text1"/>
        </w:rPr>
        <w:t xml:space="preserve">the </w:t>
      </w:r>
      <w:r w:rsidRPr="004B7ACE">
        <w:rPr>
          <w:color w:val="000000" w:themeColor="text1"/>
        </w:rPr>
        <w:t xml:space="preserve">individual value of the categorical </w:t>
      </w:r>
      <w:r w:rsidRPr="000326D8">
        <w:t>covariate</w:t>
      </w:r>
      <w:r w:rsidRPr="004B7ACE">
        <w:rPr>
          <w:color w:val="000000" w:themeColor="text1"/>
        </w:rPr>
        <w:t xml:space="preserve"> with 0 being the reference group and 1 being the alternative group. </w:t>
      </w:r>
      <w:r w:rsidRPr="004B7ACE">
        <w:rPr>
          <w:lang w:val="en-GB"/>
        </w:rPr>
        <w:t xml:space="preserve">Missing continuous data were imputed with the median values in the population. Missing categorical data were imputed with the most </w:t>
      </w:r>
      <w:r w:rsidRPr="00AE777A">
        <w:rPr>
          <w:lang w:val="en-GB"/>
        </w:rPr>
        <w:t>frequent category.</w:t>
      </w:r>
    </w:p>
    <w:p w14:paraId="662CA2B1" w14:textId="77777777" w:rsidR="00297B6A" w:rsidRPr="00025C92" w:rsidRDefault="00297B6A" w:rsidP="00025C92">
      <w:pPr>
        <w:ind w:firstLine="422"/>
        <w:rPr>
          <w:b/>
          <w:lang w:val="en-GB"/>
        </w:rPr>
      </w:pPr>
      <w:r w:rsidRPr="00025C92">
        <w:rPr>
          <w:b/>
          <w:lang w:val="en-GB"/>
        </w:rPr>
        <w:t>Model evaluation and validation</w:t>
      </w:r>
    </w:p>
    <w:p w14:paraId="5B6AA711" w14:textId="3FB5C8B9" w:rsidR="00297B6A" w:rsidRPr="004B7ACE" w:rsidRDefault="00297B6A" w:rsidP="00025C92">
      <w:pPr>
        <w:ind w:firstLine="420"/>
        <w:rPr>
          <w:lang w:val="en-GB"/>
        </w:rPr>
      </w:pPr>
      <w:r w:rsidRPr="004B7ACE">
        <w:rPr>
          <w:lang w:val="en-GB"/>
        </w:rPr>
        <w:t>The model</w:t>
      </w:r>
      <w:r w:rsidRPr="00EA7BE0">
        <w:rPr>
          <w:lang w:val="en-GB"/>
        </w:rPr>
        <w:t xml:space="preserve"> </w:t>
      </w:r>
      <w:r w:rsidRPr="00EA7BE0">
        <w:rPr>
          <w:color w:val="000000" w:themeColor="text1"/>
        </w:rPr>
        <w:t>selection</w:t>
      </w:r>
      <w:r w:rsidRPr="00EA7BE0">
        <w:rPr>
          <w:lang w:val="en-GB"/>
        </w:rPr>
        <w:t xml:space="preserve"> </w:t>
      </w:r>
      <w:r w:rsidRPr="004B7ACE">
        <w:rPr>
          <w:lang w:val="en-GB"/>
        </w:rPr>
        <w:t>was based on the goodness-of-fit plots, parameter estimates with relative standard errors (RSE%) and the decrease in objective function value (OFV) of at least 3.84 points (</w:t>
      </w:r>
      <w:r w:rsidR="00EA7BE0">
        <w:rPr>
          <w:i/>
          <w:lang w:val="en-GB"/>
        </w:rPr>
        <w:t>p</w:t>
      </w:r>
      <w:r w:rsidRPr="004B7ACE">
        <w:rPr>
          <w:lang w:val="en-GB"/>
        </w:rPr>
        <w:t xml:space="preserve"> &lt; 0.05, χ</w:t>
      </w:r>
      <w:r w:rsidRPr="004B7ACE">
        <w:rPr>
          <w:vertAlign w:val="superscript"/>
          <w:lang w:val="en-GB"/>
        </w:rPr>
        <w:t>2</w:t>
      </w:r>
      <w:r w:rsidRPr="004B7ACE">
        <w:rPr>
          <w:lang w:val="en-GB"/>
        </w:rPr>
        <w:t xml:space="preserve"> test, degree of freedom </w:t>
      </w:r>
      <w:r w:rsidR="00EA7BE0">
        <w:rPr>
          <w:lang w:val="en-GB"/>
        </w:rPr>
        <w:t>(</w:t>
      </w:r>
      <w:r w:rsidRPr="004B7ACE">
        <w:rPr>
          <w:lang w:val="en-GB"/>
        </w:rPr>
        <w:t>df</w:t>
      </w:r>
      <w:r w:rsidR="00EA7BE0">
        <w:rPr>
          <w:lang w:val="en-GB"/>
        </w:rPr>
        <w:t>)</w:t>
      </w:r>
      <w:r w:rsidRPr="004B7ACE">
        <w:rPr>
          <w:lang w:val="en-GB"/>
        </w:rPr>
        <w:t xml:space="preserve"> = 1) between the nested models. Covariates were incorporated into the model</w:t>
      </w:r>
      <w:r w:rsidR="00EA7BE0">
        <w:rPr>
          <w:lang w:val="en-GB"/>
        </w:rPr>
        <w:t xml:space="preserve"> </w:t>
      </w:r>
      <w:r w:rsidRPr="004B7ACE">
        <w:rPr>
          <w:lang w:val="en-GB"/>
        </w:rPr>
        <w:t>according to decrease in OFV with forward inclusion (</w:t>
      </w:r>
      <w:r w:rsidR="00EA7BE0">
        <w:rPr>
          <w:i/>
          <w:lang w:val="en-GB"/>
        </w:rPr>
        <w:t>p</w:t>
      </w:r>
      <w:r w:rsidRPr="004B7ACE">
        <w:rPr>
          <w:lang w:val="en-GB"/>
        </w:rPr>
        <w:t xml:space="preserve"> &lt; 0.05) followed by backward deletion (</w:t>
      </w:r>
      <w:r w:rsidR="00EA7BE0">
        <w:rPr>
          <w:i/>
          <w:lang w:val="en-GB"/>
        </w:rPr>
        <w:t>p</w:t>
      </w:r>
      <w:r w:rsidRPr="004B7ACE">
        <w:rPr>
          <w:lang w:val="en-GB"/>
        </w:rPr>
        <w:t xml:space="preserve"> &lt; 0.01). A prediction-corrected visual predictive check (</w:t>
      </w:r>
      <w:proofErr w:type="spellStart"/>
      <w:r w:rsidRPr="004B7ACE">
        <w:rPr>
          <w:lang w:val="en-GB"/>
        </w:rPr>
        <w:t>pcVPC</w:t>
      </w:r>
      <w:proofErr w:type="spellEnd"/>
      <w:r w:rsidRPr="004B7ACE">
        <w:rPr>
          <w:lang w:val="en-GB"/>
        </w:rPr>
        <w:t>) based on 1000 simulations of the original dataset and a bootstrap analysis with resampling (n = 500) were performed to validate the final model.</w:t>
      </w:r>
    </w:p>
    <w:p w14:paraId="259827B8" w14:textId="77777777" w:rsidR="00297B6A" w:rsidRPr="00EC3EC0" w:rsidRDefault="00297B6A" w:rsidP="00025C92">
      <w:pPr>
        <w:ind w:firstLine="420"/>
        <w:rPr>
          <w:color w:val="000000" w:themeColor="text1"/>
          <w:highlight w:val="yellow"/>
        </w:rPr>
      </w:pPr>
    </w:p>
    <w:p w14:paraId="593890F0" w14:textId="77777777" w:rsidR="00297B6A" w:rsidRPr="008614E5" w:rsidRDefault="00297B6A" w:rsidP="00CF7A8A">
      <w:pPr>
        <w:ind w:firstLine="420"/>
        <w:rPr>
          <w:rFonts w:eastAsia="Calibri"/>
        </w:rPr>
      </w:pPr>
      <w:r w:rsidRPr="008614E5">
        <w:rPr>
          <w:lang w:val="en-GB"/>
        </w:rPr>
        <w:br w:type="page"/>
      </w:r>
    </w:p>
    <w:p w14:paraId="6A1D31E2" w14:textId="0A219D83" w:rsidR="00297B6A" w:rsidRPr="000326D8" w:rsidRDefault="00C259F9" w:rsidP="00C259F9">
      <w:pPr>
        <w:pStyle w:val="af6"/>
        <w:rPr>
          <w:lang w:val="en-GB"/>
        </w:rPr>
      </w:pPr>
      <w:r>
        <w:rPr>
          <w:lang w:val="en-GB"/>
        </w:rPr>
        <w:lastRenderedPageBreak/>
        <w:t xml:space="preserve">Supplementary Table </w:t>
      </w:r>
      <w:r w:rsidR="00297B6A" w:rsidRPr="000326D8">
        <w:rPr>
          <w:lang w:val="en-GB"/>
        </w:rPr>
        <w:t>1. Estimates of the final pharmacokinetic model and results of the bootstrap analysis (n = 500).</w:t>
      </w:r>
    </w:p>
    <w:tbl>
      <w:tblPr>
        <w:tblStyle w:val="af1"/>
        <w:tblW w:w="10340" w:type="dxa"/>
        <w:jc w:val="center"/>
        <w:tblLook w:val="04A0" w:firstRow="1" w:lastRow="0" w:firstColumn="1" w:lastColumn="0" w:noHBand="0" w:noVBand="1"/>
      </w:tblPr>
      <w:tblGrid>
        <w:gridCol w:w="4048"/>
        <w:gridCol w:w="3260"/>
        <w:gridCol w:w="3032"/>
      </w:tblGrid>
      <w:tr w:rsidR="00297B6A" w:rsidRPr="00C259F9" w14:paraId="23F97517" w14:textId="77777777" w:rsidTr="00C259F9">
        <w:trPr>
          <w:jc w:val="center"/>
        </w:trPr>
        <w:tc>
          <w:tcPr>
            <w:tcW w:w="4048" w:type="dxa"/>
            <w:vAlign w:val="center"/>
          </w:tcPr>
          <w:p w14:paraId="7D0F9E1D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Parameter</w:t>
            </w:r>
          </w:p>
        </w:tc>
        <w:tc>
          <w:tcPr>
            <w:tcW w:w="3260" w:type="dxa"/>
            <w:vAlign w:val="center"/>
          </w:tcPr>
          <w:p w14:paraId="5B31B7C5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Mean estimate</w:t>
            </w:r>
          </w:p>
          <w:p w14:paraId="1D63D683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(RSE) [shrinkage]</w:t>
            </w:r>
          </w:p>
        </w:tc>
        <w:tc>
          <w:tcPr>
            <w:tcW w:w="3032" w:type="dxa"/>
            <w:vAlign w:val="center"/>
          </w:tcPr>
          <w:p w14:paraId="1A29202E" w14:textId="77777777" w:rsidR="00297B6A" w:rsidRPr="00C259F9" w:rsidRDefault="00297B6A" w:rsidP="00C259F9">
            <w:pPr>
              <w:ind w:firstLineChars="0" w:firstLine="0"/>
              <w:jc w:val="center"/>
              <w:rPr>
                <w:lang w:val="en-GB"/>
              </w:rPr>
            </w:pPr>
            <w:r w:rsidRPr="00C259F9">
              <w:rPr>
                <w:lang w:val="en-GB"/>
              </w:rPr>
              <w:t>Mean of 500 bootstrap runs</w:t>
            </w:r>
          </w:p>
          <w:p w14:paraId="36C44E37" w14:textId="0501290C" w:rsidR="00297B6A" w:rsidRPr="00C259F9" w:rsidRDefault="00297B6A" w:rsidP="00C259F9">
            <w:pPr>
              <w:ind w:firstLineChars="0" w:firstLine="0"/>
              <w:jc w:val="center"/>
              <w:rPr>
                <w:lang w:val="en-GB"/>
              </w:rPr>
            </w:pPr>
            <w:r w:rsidRPr="00C259F9">
              <w:rPr>
                <w:lang w:val="en-GB"/>
              </w:rPr>
              <w:t>(95%</w:t>
            </w:r>
            <w:r w:rsidR="00C259F9" w:rsidRPr="00C259F9">
              <w:rPr>
                <w:lang w:val="en-GB"/>
              </w:rPr>
              <w:t xml:space="preserve"> CI</w:t>
            </w:r>
            <w:r w:rsidRPr="00C259F9">
              <w:rPr>
                <w:lang w:val="en-GB"/>
              </w:rPr>
              <w:t>)</w:t>
            </w:r>
          </w:p>
        </w:tc>
      </w:tr>
      <w:tr w:rsidR="00297B6A" w:rsidRPr="00C259F9" w14:paraId="30580FF0" w14:textId="77777777" w:rsidTr="00C259F9">
        <w:trPr>
          <w:jc w:val="center"/>
        </w:trPr>
        <w:tc>
          <w:tcPr>
            <w:tcW w:w="4048" w:type="dxa"/>
            <w:vAlign w:val="center"/>
          </w:tcPr>
          <w:p w14:paraId="340DB66B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CL/F (L/h)</w:t>
            </w:r>
          </w:p>
        </w:tc>
        <w:tc>
          <w:tcPr>
            <w:tcW w:w="3260" w:type="dxa"/>
            <w:vAlign w:val="center"/>
          </w:tcPr>
          <w:p w14:paraId="0D1BF028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0.258 (8.7%)</w:t>
            </w:r>
          </w:p>
        </w:tc>
        <w:tc>
          <w:tcPr>
            <w:tcW w:w="3032" w:type="dxa"/>
            <w:vAlign w:val="center"/>
          </w:tcPr>
          <w:p w14:paraId="03D8D460" w14:textId="7D182A72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0.282 (0.189</w:t>
            </w:r>
            <w:r w:rsidR="002D2F80">
              <w:t>–</w:t>
            </w:r>
            <w:r w:rsidRPr="00C259F9">
              <w:t>0.405)</w:t>
            </w:r>
          </w:p>
        </w:tc>
      </w:tr>
      <w:tr w:rsidR="00297B6A" w:rsidRPr="00C259F9" w14:paraId="59C717E2" w14:textId="77777777" w:rsidTr="00C259F9">
        <w:trPr>
          <w:jc w:val="center"/>
        </w:trPr>
        <w:tc>
          <w:tcPr>
            <w:tcW w:w="4048" w:type="dxa"/>
            <w:vAlign w:val="center"/>
          </w:tcPr>
          <w:p w14:paraId="3D683258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Vc/F (L)</w:t>
            </w:r>
          </w:p>
        </w:tc>
        <w:tc>
          <w:tcPr>
            <w:tcW w:w="3260" w:type="dxa"/>
            <w:vAlign w:val="center"/>
          </w:tcPr>
          <w:p w14:paraId="616030BC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2.57 (17.9%)</w:t>
            </w:r>
          </w:p>
        </w:tc>
        <w:tc>
          <w:tcPr>
            <w:tcW w:w="3032" w:type="dxa"/>
            <w:vAlign w:val="center"/>
          </w:tcPr>
          <w:p w14:paraId="423A832C" w14:textId="0323BA45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2.45 (0.679</w:t>
            </w:r>
            <w:r w:rsidR="002D2F80">
              <w:t>–</w:t>
            </w:r>
            <w:r w:rsidRPr="00C259F9">
              <w:t>5.89)</w:t>
            </w:r>
          </w:p>
        </w:tc>
      </w:tr>
      <w:tr w:rsidR="00297B6A" w:rsidRPr="00C259F9" w14:paraId="00888122" w14:textId="77777777" w:rsidTr="00C259F9">
        <w:trPr>
          <w:jc w:val="center"/>
        </w:trPr>
        <w:tc>
          <w:tcPr>
            <w:tcW w:w="4048" w:type="dxa"/>
            <w:vAlign w:val="center"/>
          </w:tcPr>
          <w:p w14:paraId="45EC1E54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Q/F (L/h)</w:t>
            </w:r>
          </w:p>
        </w:tc>
        <w:tc>
          <w:tcPr>
            <w:tcW w:w="3260" w:type="dxa"/>
            <w:vAlign w:val="center"/>
          </w:tcPr>
          <w:p w14:paraId="0E546592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1.41 (33.1%)</w:t>
            </w:r>
          </w:p>
        </w:tc>
        <w:tc>
          <w:tcPr>
            <w:tcW w:w="3032" w:type="dxa"/>
            <w:vAlign w:val="center"/>
          </w:tcPr>
          <w:p w14:paraId="56C9387A" w14:textId="0C9FE00B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1.14 (0.165</w:t>
            </w:r>
            <w:r w:rsidR="002D2F80">
              <w:t>–</w:t>
            </w:r>
            <w:r w:rsidRPr="00C259F9">
              <w:t>1.80)</w:t>
            </w:r>
          </w:p>
        </w:tc>
      </w:tr>
      <w:tr w:rsidR="00297B6A" w:rsidRPr="00C259F9" w14:paraId="14AE02A3" w14:textId="77777777" w:rsidTr="00C259F9">
        <w:trPr>
          <w:jc w:val="center"/>
        </w:trPr>
        <w:tc>
          <w:tcPr>
            <w:tcW w:w="4048" w:type="dxa"/>
            <w:vAlign w:val="center"/>
          </w:tcPr>
          <w:p w14:paraId="0FCE9C8B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Vp/F (L)</w:t>
            </w:r>
          </w:p>
        </w:tc>
        <w:tc>
          <w:tcPr>
            <w:tcW w:w="3260" w:type="dxa"/>
            <w:vAlign w:val="center"/>
          </w:tcPr>
          <w:p w14:paraId="045833E7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55.8 (19.0%)</w:t>
            </w:r>
          </w:p>
        </w:tc>
        <w:tc>
          <w:tcPr>
            <w:tcW w:w="3032" w:type="dxa"/>
            <w:vAlign w:val="center"/>
          </w:tcPr>
          <w:p w14:paraId="46CBD4C2" w14:textId="3F5B7C25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48.2 (27.8</w:t>
            </w:r>
            <w:r w:rsidR="002D2F80">
              <w:t>–</w:t>
            </w:r>
            <w:r w:rsidRPr="00C259F9">
              <w:t>65.9)</w:t>
            </w:r>
          </w:p>
        </w:tc>
      </w:tr>
      <w:tr w:rsidR="00297B6A" w:rsidRPr="00C259F9" w14:paraId="5BA08150" w14:textId="77777777" w:rsidTr="00C259F9">
        <w:trPr>
          <w:jc w:val="center"/>
        </w:trPr>
        <w:tc>
          <w:tcPr>
            <w:tcW w:w="4048" w:type="dxa"/>
            <w:vAlign w:val="center"/>
          </w:tcPr>
          <w:p w14:paraId="72A7F570" w14:textId="732115D6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k</w:t>
            </w:r>
            <w:r w:rsidRPr="00C259F9">
              <w:rPr>
                <w:vertAlign w:val="subscript"/>
              </w:rPr>
              <w:t>a</w:t>
            </w:r>
            <w:r w:rsidRPr="00C259F9">
              <w:t xml:space="preserve"> fast (h</w:t>
            </w:r>
            <w:r w:rsidR="002D2F80" w:rsidRPr="002D2F80">
              <w:rPr>
                <w:rFonts w:eastAsiaTheme="minorEastAsia"/>
                <w:sz w:val="18"/>
                <w:szCs w:val="18"/>
                <w:vertAlign w:val="superscript"/>
              </w:rPr>
              <w:t>−</w:t>
            </w:r>
            <w:r w:rsidRPr="002D2F80">
              <w:rPr>
                <w:vertAlign w:val="superscript"/>
              </w:rPr>
              <w:t>1</w:t>
            </w:r>
            <w:r w:rsidRPr="00C259F9">
              <w:t>)</w:t>
            </w:r>
          </w:p>
        </w:tc>
        <w:tc>
          <w:tcPr>
            <w:tcW w:w="3260" w:type="dxa"/>
            <w:vAlign w:val="center"/>
          </w:tcPr>
          <w:p w14:paraId="307FBBCE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0.4 FIXED</w:t>
            </w:r>
          </w:p>
        </w:tc>
        <w:tc>
          <w:tcPr>
            <w:tcW w:w="3032" w:type="dxa"/>
            <w:vAlign w:val="center"/>
          </w:tcPr>
          <w:p w14:paraId="2F5499E4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0.4 FIXED</w:t>
            </w:r>
          </w:p>
        </w:tc>
      </w:tr>
      <w:tr w:rsidR="00297B6A" w:rsidRPr="00C259F9" w14:paraId="34F42561" w14:textId="77777777" w:rsidTr="00C259F9">
        <w:trPr>
          <w:jc w:val="center"/>
        </w:trPr>
        <w:tc>
          <w:tcPr>
            <w:tcW w:w="4048" w:type="dxa"/>
            <w:vAlign w:val="center"/>
          </w:tcPr>
          <w:p w14:paraId="378DD0D3" w14:textId="58F10826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k</w:t>
            </w:r>
            <w:r w:rsidRPr="00C259F9">
              <w:rPr>
                <w:vertAlign w:val="subscript"/>
              </w:rPr>
              <w:t>a</w:t>
            </w:r>
            <w:r w:rsidRPr="00C259F9">
              <w:t xml:space="preserve"> slow (h</w:t>
            </w:r>
            <w:r w:rsidR="002D2F80" w:rsidRPr="002D2F80">
              <w:rPr>
                <w:rFonts w:eastAsiaTheme="minorEastAsia"/>
                <w:sz w:val="18"/>
                <w:szCs w:val="18"/>
                <w:vertAlign w:val="superscript"/>
              </w:rPr>
              <w:t>−</w:t>
            </w:r>
            <w:r w:rsidRPr="002D2F80">
              <w:rPr>
                <w:vertAlign w:val="superscript"/>
              </w:rPr>
              <w:t>1</w:t>
            </w:r>
            <w:r w:rsidRPr="00C259F9">
              <w:t>)</w:t>
            </w:r>
          </w:p>
        </w:tc>
        <w:tc>
          <w:tcPr>
            <w:tcW w:w="3260" w:type="dxa"/>
            <w:vAlign w:val="center"/>
          </w:tcPr>
          <w:p w14:paraId="569104AB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0.124 (38.4%)</w:t>
            </w:r>
          </w:p>
        </w:tc>
        <w:tc>
          <w:tcPr>
            <w:tcW w:w="3032" w:type="dxa"/>
            <w:vAlign w:val="center"/>
          </w:tcPr>
          <w:p w14:paraId="146D020B" w14:textId="5B45342C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0.117 (0.0308</w:t>
            </w:r>
            <w:r w:rsidR="002D2F80">
              <w:t>–</w:t>
            </w:r>
            <w:r w:rsidRPr="00C259F9">
              <w:t>0.201)</w:t>
            </w:r>
          </w:p>
        </w:tc>
      </w:tr>
      <w:tr w:rsidR="00297B6A" w:rsidRPr="00C259F9" w14:paraId="4336F4BF" w14:textId="77777777" w:rsidTr="00C259F9">
        <w:trPr>
          <w:jc w:val="center"/>
        </w:trPr>
        <w:tc>
          <w:tcPr>
            <w:tcW w:w="4048" w:type="dxa"/>
            <w:vAlign w:val="center"/>
          </w:tcPr>
          <w:p w14:paraId="154ADBB9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Lag time (h)</w:t>
            </w:r>
          </w:p>
        </w:tc>
        <w:tc>
          <w:tcPr>
            <w:tcW w:w="3260" w:type="dxa"/>
            <w:vAlign w:val="center"/>
          </w:tcPr>
          <w:p w14:paraId="73DC07BE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1.31 (26.8%)</w:t>
            </w:r>
          </w:p>
        </w:tc>
        <w:tc>
          <w:tcPr>
            <w:tcW w:w="3032" w:type="dxa"/>
            <w:vAlign w:val="center"/>
          </w:tcPr>
          <w:p w14:paraId="5B22056C" w14:textId="57779282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1.27 (0.840</w:t>
            </w:r>
            <w:r w:rsidR="002D2F80">
              <w:t>–</w:t>
            </w:r>
            <w:r w:rsidRPr="00C259F9">
              <w:t>1.57)</w:t>
            </w:r>
          </w:p>
        </w:tc>
      </w:tr>
      <w:tr w:rsidR="00297B6A" w:rsidRPr="00C259F9" w14:paraId="5D657C92" w14:textId="77777777" w:rsidTr="00C259F9">
        <w:trPr>
          <w:jc w:val="center"/>
        </w:trPr>
        <w:tc>
          <w:tcPr>
            <w:tcW w:w="4048" w:type="dxa"/>
            <w:vAlign w:val="center"/>
          </w:tcPr>
          <w:p w14:paraId="2E582E89" w14:textId="2A35F858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First order decay constant λ (day</w:t>
            </w:r>
            <w:r w:rsidR="002D2F80" w:rsidRPr="002D2F80">
              <w:rPr>
                <w:rFonts w:eastAsiaTheme="minorEastAsia"/>
                <w:sz w:val="18"/>
                <w:szCs w:val="18"/>
                <w:vertAlign w:val="superscript"/>
              </w:rPr>
              <w:t>−</w:t>
            </w:r>
            <w:r w:rsidRPr="00C259F9">
              <w:rPr>
                <w:vertAlign w:val="superscript"/>
              </w:rPr>
              <w:t>1</w:t>
            </w:r>
            <w:r w:rsidRPr="00C259F9">
              <w:t>)</w:t>
            </w:r>
          </w:p>
        </w:tc>
        <w:tc>
          <w:tcPr>
            <w:tcW w:w="3260" w:type="dxa"/>
            <w:vAlign w:val="center"/>
          </w:tcPr>
          <w:p w14:paraId="07FE0DDF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0.15 FIXED</w:t>
            </w:r>
          </w:p>
        </w:tc>
        <w:tc>
          <w:tcPr>
            <w:tcW w:w="3032" w:type="dxa"/>
            <w:vAlign w:val="center"/>
          </w:tcPr>
          <w:p w14:paraId="3866DE28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0.15 FIXED</w:t>
            </w:r>
          </w:p>
        </w:tc>
      </w:tr>
      <w:tr w:rsidR="00297B6A" w:rsidRPr="00C259F9" w14:paraId="7A548266" w14:textId="77777777" w:rsidTr="00C259F9">
        <w:trPr>
          <w:jc w:val="center"/>
        </w:trPr>
        <w:tc>
          <w:tcPr>
            <w:tcW w:w="4048" w:type="dxa"/>
            <w:vAlign w:val="center"/>
          </w:tcPr>
          <w:p w14:paraId="1968D74A" w14:textId="77777777" w:rsidR="00297B6A" w:rsidRPr="00C259F9" w:rsidRDefault="00297B6A" w:rsidP="00C259F9">
            <w:pPr>
              <w:ind w:firstLineChars="0" w:firstLine="0"/>
              <w:jc w:val="left"/>
              <w:rPr>
                <w:lang w:val="en-GB"/>
              </w:rPr>
            </w:pPr>
            <w:r w:rsidRPr="00C259F9">
              <w:rPr>
                <w:lang w:val="en-GB"/>
              </w:rPr>
              <w:t>Maximum decrease in relative bioavailability with time</w:t>
            </w:r>
          </w:p>
        </w:tc>
        <w:tc>
          <w:tcPr>
            <w:tcW w:w="3260" w:type="dxa"/>
            <w:vAlign w:val="center"/>
          </w:tcPr>
          <w:p w14:paraId="6617FB16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0.5 FIXED</w:t>
            </w:r>
          </w:p>
        </w:tc>
        <w:tc>
          <w:tcPr>
            <w:tcW w:w="3032" w:type="dxa"/>
            <w:vAlign w:val="center"/>
          </w:tcPr>
          <w:p w14:paraId="41086697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0.5 FIXED</w:t>
            </w:r>
          </w:p>
        </w:tc>
      </w:tr>
      <w:tr w:rsidR="00297B6A" w:rsidRPr="00C259F9" w14:paraId="515DAECE" w14:textId="77777777" w:rsidTr="00C259F9">
        <w:trPr>
          <w:jc w:val="center"/>
        </w:trPr>
        <w:tc>
          <w:tcPr>
            <w:tcW w:w="4048" w:type="dxa"/>
            <w:vAlign w:val="center"/>
          </w:tcPr>
          <w:p w14:paraId="171B7134" w14:textId="77777777" w:rsidR="00297B6A" w:rsidRPr="00C259F9" w:rsidRDefault="00297B6A" w:rsidP="00C259F9">
            <w:pPr>
              <w:ind w:firstLineChars="0" w:firstLine="0"/>
              <w:jc w:val="left"/>
              <w:rPr>
                <w:lang w:val="en-GB"/>
              </w:rPr>
            </w:pPr>
            <w:r w:rsidRPr="00C259F9">
              <w:rPr>
                <w:lang w:val="en-GB"/>
              </w:rPr>
              <w:t>Fraction of the dose absorbed with fast process</w:t>
            </w:r>
          </w:p>
        </w:tc>
        <w:tc>
          <w:tcPr>
            <w:tcW w:w="3260" w:type="dxa"/>
            <w:vAlign w:val="center"/>
          </w:tcPr>
          <w:p w14:paraId="12D28BF8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0.257 (21.5%)</w:t>
            </w:r>
          </w:p>
        </w:tc>
        <w:tc>
          <w:tcPr>
            <w:tcW w:w="3032" w:type="dxa"/>
            <w:vAlign w:val="center"/>
          </w:tcPr>
          <w:p w14:paraId="325065C9" w14:textId="2956EAC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0.230 (0.0664</w:t>
            </w:r>
            <w:r w:rsidR="002D2F80">
              <w:t>–</w:t>
            </w:r>
            <w:r w:rsidRPr="00C259F9">
              <w:t>0.427)</w:t>
            </w:r>
          </w:p>
        </w:tc>
      </w:tr>
      <w:tr w:rsidR="00297B6A" w:rsidRPr="00C259F9" w14:paraId="3C1B05A9" w14:textId="77777777" w:rsidTr="00C259F9">
        <w:trPr>
          <w:jc w:val="center"/>
        </w:trPr>
        <w:tc>
          <w:tcPr>
            <w:tcW w:w="4048" w:type="dxa"/>
            <w:vAlign w:val="center"/>
          </w:tcPr>
          <w:p w14:paraId="1207E610" w14:textId="77777777" w:rsidR="00297B6A" w:rsidRPr="00C259F9" w:rsidRDefault="00297B6A" w:rsidP="00C259F9">
            <w:pPr>
              <w:ind w:firstLineChars="0" w:firstLine="0"/>
              <w:jc w:val="left"/>
              <w:rPr>
                <w:lang w:val="en-GB"/>
              </w:rPr>
            </w:pPr>
            <w:r w:rsidRPr="00C259F9">
              <w:rPr>
                <w:lang w:val="en-GB"/>
              </w:rPr>
              <w:t>Fractional change of relative bioavailability due to paclitaxel co-administration</w:t>
            </w:r>
          </w:p>
        </w:tc>
        <w:tc>
          <w:tcPr>
            <w:tcW w:w="3260" w:type="dxa"/>
            <w:vAlign w:val="center"/>
          </w:tcPr>
          <w:p w14:paraId="5411A364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0.754 (3.6%)</w:t>
            </w:r>
          </w:p>
        </w:tc>
        <w:tc>
          <w:tcPr>
            <w:tcW w:w="3032" w:type="dxa"/>
            <w:vAlign w:val="center"/>
          </w:tcPr>
          <w:p w14:paraId="43B61A48" w14:textId="7B0E00F9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0.812 (0.634</w:t>
            </w:r>
            <w:r w:rsidR="002D2F80">
              <w:t>–</w:t>
            </w:r>
            <w:r w:rsidRPr="00C259F9">
              <w:t>1.15)</w:t>
            </w:r>
          </w:p>
        </w:tc>
      </w:tr>
      <w:tr w:rsidR="00297B6A" w:rsidRPr="00C259F9" w14:paraId="1AB65651" w14:textId="77777777" w:rsidTr="00C259F9">
        <w:trPr>
          <w:jc w:val="center"/>
        </w:trPr>
        <w:tc>
          <w:tcPr>
            <w:tcW w:w="4048" w:type="dxa"/>
            <w:vAlign w:val="center"/>
          </w:tcPr>
          <w:p w14:paraId="73B50580" w14:textId="7D5B1080" w:rsidR="00297B6A" w:rsidRPr="00C259F9" w:rsidRDefault="002D2F80" w:rsidP="00C259F9">
            <w:pPr>
              <w:ind w:firstLineChars="0" w:firstLine="0"/>
              <w:jc w:val="left"/>
            </w:pPr>
            <w:r>
              <w:t>IIV CL/F (CV</w:t>
            </w:r>
            <w:r w:rsidR="00297B6A" w:rsidRPr="00C259F9">
              <w:t>%)</w:t>
            </w:r>
          </w:p>
        </w:tc>
        <w:tc>
          <w:tcPr>
            <w:tcW w:w="3260" w:type="dxa"/>
            <w:vAlign w:val="center"/>
          </w:tcPr>
          <w:p w14:paraId="02A0E8EE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126.5 (22.7%) [19%]</w:t>
            </w:r>
          </w:p>
        </w:tc>
        <w:tc>
          <w:tcPr>
            <w:tcW w:w="3032" w:type="dxa"/>
            <w:vAlign w:val="center"/>
          </w:tcPr>
          <w:p w14:paraId="72149573" w14:textId="070ADF19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153.5 (84.8</w:t>
            </w:r>
            <w:r w:rsidR="002D2F80">
              <w:t>–</w:t>
            </w:r>
            <w:r w:rsidRPr="00C259F9">
              <w:t>368.6)</w:t>
            </w:r>
          </w:p>
        </w:tc>
      </w:tr>
      <w:tr w:rsidR="00297B6A" w:rsidRPr="00C259F9" w14:paraId="1D64D33B" w14:textId="77777777" w:rsidTr="00C259F9">
        <w:trPr>
          <w:jc w:val="center"/>
        </w:trPr>
        <w:tc>
          <w:tcPr>
            <w:tcW w:w="4048" w:type="dxa"/>
            <w:vAlign w:val="center"/>
          </w:tcPr>
          <w:p w14:paraId="601A1D71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Correlation CL/F, Vc/F (%)</w:t>
            </w:r>
          </w:p>
        </w:tc>
        <w:tc>
          <w:tcPr>
            <w:tcW w:w="3260" w:type="dxa"/>
            <w:vAlign w:val="center"/>
          </w:tcPr>
          <w:p w14:paraId="64E864D8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91.7</w:t>
            </w:r>
          </w:p>
        </w:tc>
        <w:tc>
          <w:tcPr>
            <w:tcW w:w="3032" w:type="dxa"/>
            <w:vAlign w:val="center"/>
          </w:tcPr>
          <w:p w14:paraId="4271A8C8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88.3 (40.3; &gt;100)</w:t>
            </w:r>
          </w:p>
        </w:tc>
      </w:tr>
      <w:tr w:rsidR="00297B6A" w:rsidRPr="00C259F9" w14:paraId="28022E97" w14:textId="77777777" w:rsidTr="00C259F9">
        <w:trPr>
          <w:jc w:val="center"/>
        </w:trPr>
        <w:tc>
          <w:tcPr>
            <w:tcW w:w="4048" w:type="dxa"/>
            <w:vAlign w:val="center"/>
          </w:tcPr>
          <w:p w14:paraId="4008385A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Correlation CL/F, F</w:t>
            </w:r>
            <w:r w:rsidRPr="00C259F9">
              <w:rPr>
                <w:vertAlign w:val="subscript"/>
              </w:rPr>
              <w:t>rel</w:t>
            </w:r>
            <w:r w:rsidRPr="00C259F9">
              <w:t xml:space="preserve"> (%)</w:t>
            </w:r>
          </w:p>
        </w:tc>
        <w:tc>
          <w:tcPr>
            <w:tcW w:w="3260" w:type="dxa"/>
            <w:vAlign w:val="center"/>
          </w:tcPr>
          <w:p w14:paraId="1666BE32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87.7</w:t>
            </w:r>
          </w:p>
        </w:tc>
        <w:tc>
          <w:tcPr>
            <w:tcW w:w="3032" w:type="dxa"/>
            <w:vAlign w:val="center"/>
          </w:tcPr>
          <w:p w14:paraId="7E9B5469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89.4 (42.0; &gt;100)</w:t>
            </w:r>
          </w:p>
        </w:tc>
      </w:tr>
      <w:tr w:rsidR="00297B6A" w:rsidRPr="00C259F9" w14:paraId="2565A40E" w14:textId="77777777" w:rsidTr="00C259F9">
        <w:trPr>
          <w:jc w:val="center"/>
        </w:trPr>
        <w:tc>
          <w:tcPr>
            <w:tcW w:w="4048" w:type="dxa"/>
            <w:vAlign w:val="center"/>
          </w:tcPr>
          <w:p w14:paraId="76C226CD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Correlation Vc/F, F</w:t>
            </w:r>
            <w:r w:rsidRPr="00C259F9">
              <w:rPr>
                <w:vertAlign w:val="subscript"/>
              </w:rPr>
              <w:t>rel</w:t>
            </w:r>
            <w:r w:rsidRPr="00C259F9">
              <w:t xml:space="preserve"> (%)</w:t>
            </w:r>
          </w:p>
        </w:tc>
        <w:tc>
          <w:tcPr>
            <w:tcW w:w="3260" w:type="dxa"/>
            <w:vAlign w:val="center"/>
          </w:tcPr>
          <w:p w14:paraId="11577F69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83.4</w:t>
            </w:r>
          </w:p>
        </w:tc>
        <w:tc>
          <w:tcPr>
            <w:tcW w:w="3032" w:type="dxa"/>
            <w:vAlign w:val="center"/>
          </w:tcPr>
          <w:p w14:paraId="64BF9936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82.9 (40.6; &gt;100)</w:t>
            </w:r>
          </w:p>
        </w:tc>
      </w:tr>
      <w:tr w:rsidR="00297B6A" w:rsidRPr="00C259F9" w14:paraId="3C9C75F9" w14:textId="77777777" w:rsidTr="00C259F9">
        <w:trPr>
          <w:jc w:val="center"/>
        </w:trPr>
        <w:tc>
          <w:tcPr>
            <w:tcW w:w="4048" w:type="dxa"/>
            <w:vAlign w:val="center"/>
          </w:tcPr>
          <w:p w14:paraId="47537518" w14:textId="3BF966B3" w:rsidR="00297B6A" w:rsidRPr="00C259F9" w:rsidRDefault="002D2F80" w:rsidP="00C259F9">
            <w:pPr>
              <w:ind w:firstLineChars="0" w:firstLine="0"/>
              <w:jc w:val="left"/>
            </w:pPr>
            <w:r>
              <w:t xml:space="preserve">IIV </w:t>
            </w:r>
            <w:proofErr w:type="spellStart"/>
            <w:r>
              <w:t>Vc</w:t>
            </w:r>
            <w:proofErr w:type="spellEnd"/>
            <w:r>
              <w:t>/F (CV</w:t>
            </w:r>
            <w:r w:rsidR="00297B6A" w:rsidRPr="00C259F9">
              <w:t>%)</w:t>
            </w:r>
          </w:p>
        </w:tc>
        <w:tc>
          <w:tcPr>
            <w:tcW w:w="3260" w:type="dxa"/>
            <w:vAlign w:val="center"/>
          </w:tcPr>
          <w:p w14:paraId="67BFE28C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193.9 (28.8%) [24%]</w:t>
            </w:r>
          </w:p>
        </w:tc>
        <w:tc>
          <w:tcPr>
            <w:tcW w:w="3032" w:type="dxa"/>
            <w:vAlign w:val="center"/>
          </w:tcPr>
          <w:p w14:paraId="476303FA" w14:textId="2DEEE2CC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254.4 (143.1</w:t>
            </w:r>
            <w:r w:rsidR="002D2F80">
              <w:t>–</w:t>
            </w:r>
            <w:r w:rsidRPr="00C259F9">
              <w:t>674.4)</w:t>
            </w:r>
          </w:p>
        </w:tc>
      </w:tr>
      <w:tr w:rsidR="00297B6A" w:rsidRPr="00C259F9" w14:paraId="1D5A9E27" w14:textId="77777777" w:rsidTr="00C259F9">
        <w:trPr>
          <w:jc w:val="center"/>
        </w:trPr>
        <w:tc>
          <w:tcPr>
            <w:tcW w:w="4048" w:type="dxa"/>
            <w:vAlign w:val="center"/>
          </w:tcPr>
          <w:p w14:paraId="5966975D" w14:textId="27734CE8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 xml:space="preserve">IIV </w:t>
            </w:r>
            <w:proofErr w:type="spellStart"/>
            <w:r w:rsidRPr="00C259F9">
              <w:t>F</w:t>
            </w:r>
            <w:r w:rsidRPr="00C259F9">
              <w:rPr>
                <w:vertAlign w:val="subscript"/>
              </w:rPr>
              <w:t>rel</w:t>
            </w:r>
            <w:proofErr w:type="spellEnd"/>
            <w:r w:rsidR="002D2F80">
              <w:t xml:space="preserve"> (CV</w:t>
            </w:r>
            <w:r w:rsidRPr="00C259F9">
              <w:t>%)</w:t>
            </w:r>
          </w:p>
        </w:tc>
        <w:tc>
          <w:tcPr>
            <w:tcW w:w="3260" w:type="dxa"/>
            <w:vAlign w:val="center"/>
          </w:tcPr>
          <w:p w14:paraId="4FC9B6AE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106.4 (23.8%) [16%]</w:t>
            </w:r>
          </w:p>
        </w:tc>
        <w:tc>
          <w:tcPr>
            <w:tcW w:w="3032" w:type="dxa"/>
            <w:vAlign w:val="center"/>
          </w:tcPr>
          <w:p w14:paraId="087220A2" w14:textId="11E16E9E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119.7 (77.8</w:t>
            </w:r>
            <w:r w:rsidR="002D2F80">
              <w:t>–</w:t>
            </w:r>
            <w:r w:rsidRPr="00C259F9">
              <w:t>208.5)</w:t>
            </w:r>
          </w:p>
        </w:tc>
      </w:tr>
      <w:tr w:rsidR="00297B6A" w:rsidRPr="00C259F9" w14:paraId="31EF0119" w14:textId="77777777" w:rsidTr="00C259F9">
        <w:trPr>
          <w:jc w:val="center"/>
        </w:trPr>
        <w:tc>
          <w:tcPr>
            <w:tcW w:w="4048" w:type="dxa"/>
            <w:vAlign w:val="center"/>
          </w:tcPr>
          <w:p w14:paraId="3871F398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Proportional error (CV%)</w:t>
            </w:r>
          </w:p>
        </w:tc>
        <w:tc>
          <w:tcPr>
            <w:tcW w:w="3260" w:type="dxa"/>
            <w:vAlign w:val="center"/>
          </w:tcPr>
          <w:p w14:paraId="069AD541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17.5 (7.1%)</w:t>
            </w:r>
          </w:p>
        </w:tc>
        <w:tc>
          <w:tcPr>
            <w:tcW w:w="3032" w:type="dxa"/>
            <w:vAlign w:val="center"/>
          </w:tcPr>
          <w:p w14:paraId="7CF3D994" w14:textId="2FA7ADE0" w:rsidR="00297B6A" w:rsidRPr="00C259F9" w:rsidRDefault="00297B6A" w:rsidP="002D2F80">
            <w:pPr>
              <w:ind w:firstLineChars="0" w:firstLine="0"/>
              <w:jc w:val="center"/>
            </w:pPr>
            <w:r w:rsidRPr="00C259F9">
              <w:t>16.8 (13.5</w:t>
            </w:r>
            <w:bookmarkStart w:id="0" w:name="OLE_LINK24"/>
            <w:bookmarkStart w:id="1" w:name="OLE_LINK25"/>
            <w:r w:rsidR="002D2F80">
              <w:t>–</w:t>
            </w:r>
            <w:bookmarkEnd w:id="0"/>
            <w:bookmarkEnd w:id="1"/>
            <w:r w:rsidRPr="00C259F9">
              <w:t>19.5)</w:t>
            </w:r>
          </w:p>
        </w:tc>
      </w:tr>
      <w:tr w:rsidR="00297B6A" w:rsidRPr="00C259F9" w14:paraId="0A8B1B5A" w14:textId="77777777" w:rsidTr="00C259F9">
        <w:trPr>
          <w:jc w:val="center"/>
        </w:trPr>
        <w:tc>
          <w:tcPr>
            <w:tcW w:w="4048" w:type="dxa"/>
            <w:vAlign w:val="center"/>
          </w:tcPr>
          <w:p w14:paraId="3909D926" w14:textId="77777777" w:rsidR="00297B6A" w:rsidRPr="00C259F9" w:rsidRDefault="00297B6A" w:rsidP="00C259F9">
            <w:pPr>
              <w:ind w:firstLineChars="0" w:firstLine="0"/>
              <w:jc w:val="left"/>
            </w:pPr>
            <w:r w:rsidRPr="00C259F9">
              <w:t>Additive error (mg/L)</w:t>
            </w:r>
          </w:p>
        </w:tc>
        <w:tc>
          <w:tcPr>
            <w:tcW w:w="3260" w:type="dxa"/>
            <w:vAlign w:val="center"/>
          </w:tcPr>
          <w:p w14:paraId="49DC6211" w14:textId="77777777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1.65 (58%)</w:t>
            </w:r>
          </w:p>
        </w:tc>
        <w:tc>
          <w:tcPr>
            <w:tcW w:w="3032" w:type="dxa"/>
            <w:vAlign w:val="center"/>
          </w:tcPr>
          <w:p w14:paraId="26AB0928" w14:textId="02E20925" w:rsidR="00297B6A" w:rsidRPr="00C259F9" w:rsidRDefault="00297B6A" w:rsidP="00C259F9">
            <w:pPr>
              <w:ind w:firstLineChars="0" w:firstLine="0"/>
              <w:jc w:val="center"/>
            </w:pPr>
            <w:r w:rsidRPr="00C259F9">
              <w:t>1.60 (0.366</w:t>
            </w:r>
            <w:r w:rsidR="002D2F80">
              <w:t>–</w:t>
            </w:r>
            <w:r w:rsidRPr="00C259F9">
              <w:t>2.65)</w:t>
            </w:r>
          </w:p>
        </w:tc>
      </w:tr>
    </w:tbl>
    <w:p w14:paraId="15A4FAAE" w14:textId="1FB10CC3" w:rsidR="00297B6A" w:rsidRPr="000326D8" w:rsidRDefault="00297B6A" w:rsidP="002D2F80">
      <w:pPr>
        <w:pStyle w:val="af7"/>
        <w:jc w:val="both"/>
      </w:pPr>
      <w:r w:rsidRPr="000326D8">
        <w:t>CI</w:t>
      </w:r>
      <w:r w:rsidR="005010D9">
        <w:t>:</w:t>
      </w:r>
      <w:r w:rsidRPr="000326D8">
        <w:t xml:space="preserve"> confidence interval; CL/F</w:t>
      </w:r>
      <w:r w:rsidR="005010D9">
        <w:t>:</w:t>
      </w:r>
      <w:r w:rsidRPr="000326D8">
        <w:t xml:space="preserve"> apparent clearance; CV</w:t>
      </w:r>
      <w:r w:rsidR="005010D9">
        <w:t>:</w:t>
      </w:r>
      <w:r w:rsidRPr="000326D8">
        <w:t xml:space="preserve"> coefficient of variation; IIV</w:t>
      </w:r>
      <w:r w:rsidR="005010D9">
        <w:t>:</w:t>
      </w:r>
      <w:r w:rsidRPr="000326D8">
        <w:t xml:space="preserve"> interindividual variability; </w:t>
      </w:r>
      <w:proofErr w:type="spellStart"/>
      <w:r w:rsidRPr="000326D8">
        <w:t>F</w:t>
      </w:r>
      <w:r w:rsidRPr="000326D8">
        <w:rPr>
          <w:vertAlign w:val="subscript"/>
        </w:rPr>
        <w:t>rel</w:t>
      </w:r>
      <w:proofErr w:type="spellEnd"/>
      <w:r w:rsidR="005010D9">
        <w:t>:</w:t>
      </w:r>
      <w:r w:rsidRPr="000326D8">
        <w:t xml:space="preserve"> relative bioavailability; k</w:t>
      </w:r>
      <w:r w:rsidRPr="000326D8">
        <w:rPr>
          <w:vertAlign w:val="subscript"/>
        </w:rPr>
        <w:t>a</w:t>
      </w:r>
      <w:r w:rsidR="005010D9">
        <w:t>:</w:t>
      </w:r>
      <w:r w:rsidRPr="000326D8">
        <w:t xml:space="preserve"> first-order absorption rate constant; Q/F</w:t>
      </w:r>
      <w:r w:rsidR="005010D9">
        <w:t>:</w:t>
      </w:r>
      <w:r w:rsidRPr="000326D8">
        <w:t xml:space="preserve"> apparent intercompartmental clearance; RSE</w:t>
      </w:r>
      <w:r w:rsidR="005010D9">
        <w:t>:</w:t>
      </w:r>
      <w:r w:rsidRPr="000326D8">
        <w:t xml:space="preserve"> relative standard error; </w:t>
      </w:r>
      <w:proofErr w:type="spellStart"/>
      <w:r w:rsidRPr="000326D8">
        <w:t>Vc</w:t>
      </w:r>
      <w:proofErr w:type="spellEnd"/>
      <w:r w:rsidRPr="000326D8">
        <w:t>/F</w:t>
      </w:r>
      <w:r w:rsidR="005010D9">
        <w:t>:</w:t>
      </w:r>
      <w:r w:rsidRPr="000326D8">
        <w:t xml:space="preserve"> apparent central volume of distribution; </w:t>
      </w:r>
      <w:proofErr w:type="spellStart"/>
      <w:r w:rsidRPr="000326D8">
        <w:t>Vp</w:t>
      </w:r>
      <w:proofErr w:type="spellEnd"/>
      <w:r w:rsidRPr="000326D8">
        <w:t>/F</w:t>
      </w:r>
      <w:r w:rsidR="005010D9">
        <w:t>:</w:t>
      </w:r>
      <w:r w:rsidRPr="000326D8">
        <w:t xml:space="preserve"> apparent peripheral volume of distribution;</w:t>
      </w:r>
    </w:p>
    <w:p w14:paraId="0A1790FC" w14:textId="50582392" w:rsidR="00297B6A" w:rsidRDefault="00297B6A" w:rsidP="002D2F80">
      <w:pPr>
        <w:pStyle w:val="af7"/>
        <w:jc w:val="both"/>
      </w:pPr>
    </w:p>
    <w:p w14:paraId="60596823" w14:textId="77777777" w:rsidR="002D2F80" w:rsidRPr="008614E5" w:rsidRDefault="002D2F80" w:rsidP="002D2F80">
      <w:pPr>
        <w:pStyle w:val="af7"/>
        <w:jc w:val="both"/>
      </w:pPr>
    </w:p>
    <w:p w14:paraId="4521CB5E" w14:textId="77777777" w:rsidR="00297B6A" w:rsidRPr="008614E5" w:rsidRDefault="00297B6A" w:rsidP="00E502EA">
      <w:pPr>
        <w:ind w:firstLineChars="0" w:firstLine="0"/>
        <w:jc w:val="center"/>
      </w:pPr>
      <w:r w:rsidRPr="00DC53E2">
        <w:rPr>
          <w:noProof/>
        </w:rPr>
        <w:lastRenderedPageBreak/>
        <w:drawing>
          <wp:inline distT="0" distB="0" distL="0" distR="0" wp14:anchorId="24B73C3F" wp14:editId="2E995CB1">
            <wp:extent cx="6246421" cy="6246421"/>
            <wp:effectExtent l="0" t="0" r="254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64800" cy="62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BB5A" w14:textId="467B5168" w:rsidR="00297B6A" w:rsidRPr="008614E5" w:rsidRDefault="00297B6A" w:rsidP="00E502EA">
      <w:pPr>
        <w:pStyle w:val="aff"/>
        <w:jc w:val="both"/>
        <w:rPr>
          <w:b/>
        </w:rPr>
      </w:pPr>
      <w:r>
        <w:rPr>
          <w:b/>
        </w:rPr>
        <w:t xml:space="preserve">Supplementary </w:t>
      </w:r>
      <w:r w:rsidRPr="008614E5">
        <w:rPr>
          <w:b/>
        </w:rPr>
        <w:t>Fig</w:t>
      </w:r>
      <w:r w:rsidR="00E502EA">
        <w:rPr>
          <w:b/>
        </w:rPr>
        <w:t xml:space="preserve">. </w:t>
      </w:r>
      <w:r w:rsidRPr="008614E5">
        <w:rPr>
          <w:b/>
        </w:rPr>
        <w:t>1.</w:t>
      </w:r>
      <w:r>
        <w:rPr>
          <w:b/>
        </w:rPr>
        <w:t xml:space="preserve"> </w:t>
      </w:r>
      <w:r w:rsidRPr="00E502EA">
        <w:rPr>
          <w:b/>
        </w:rPr>
        <w:t>Goodness-of-fit of the final PK model for pazopanib.</w:t>
      </w:r>
      <w:r>
        <w:t xml:space="preserve"> CWRES</w:t>
      </w:r>
      <w:r w:rsidR="003150C0">
        <w:t>:</w:t>
      </w:r>
      <w:r>
        <w:t xml:space="preserve"> conditional weighted residuals. The blue line r</w:t>
      </w:r>
      <w:r w:rsidR="00E502EA">
        <w:t xml:space="preserve">epresents linear regression </w:t>
      </w:r>
      <w:proofErr w:type="spellStart"/>
      <w:r w:rsidR="00E502EA">
        <w:t>y~</w:t>
      </w:r>
      <w:r>
        <w:t>x</w:t>
      </w:r>
      <w:proofErr w:type="spellEnd"/>
      <w:r>
        <w:t>.</w:t>
      </w:r>
    </w:p>
    <w:p w14:paraId="07BEC99E" w14:textId="28309E87" w:rsidR="00E95A27" w:rsidRPr="00297B6A" w:rsidRDefault="00E95A27" w:rsidP="00E502EA">
      <w:pPr>
        <w:pStyle w:val="aff"/>
        <w:jc w:val="both"/>
      </w:pPr>
    </w:p>
    <w:sectPr w:rsidR="00E95A27" w:rsidRPr="00297B6A" w:rsidSect="000948E3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 w:code="9"/>
      <w:pgMar w:top="992" w:right="992" w:bottom="992" w:left="992" w:header="284" w:footer="1134" w:gutter="0"/>
      <w:cols w:space="425"/>
      <w:titlePg/>
      <w:docGrid w:type="lines" w:linePitch="29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CDBFB4" w14:textId="77777777" w:rsidR="009C47BF" w:rsidRDefault="009C47BF">
      <w:pPr>
        <w:ind w:firstLine="420"/>
      </w:pPr>
      <w:r>
        <w:separator/>
      </w:r>
    </w:p>
  </w:endnote>
  <w:endnote w:type="continuationSeparator" w:id="0">
    <w:p w14:paraId="051071B3" w14:textId="77777777" w:rsidR="009C47BF" w:rsidRDefault="009C47BF"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NimbusRomNo9L">
    <w:panose1 w:val="01010103010101010101"/>
    <w:charset w:val="00"/>
    <w:family w:val="auto"/>
    <w:pitch w:val="variable"/>
    <w:sig w:usb0="00000287" w:usb1="00000000" w:usb2="00000000" w:usb3="00000000" w:csb0="0000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70FF2" w14:textId="77777777" w:rsidR="009C47BF" w:rsidRDefault="009C47BF">
    <w:pPr>
      <w:pStyle w:val="aa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65746037"/>
      <w:docPartObj>
        <w:docPartGallery w:val="Page Numbers (Bottom of Page)"/>
        <w:docPartUnique/>
      </w:docPartObj>
    </w:sdtPr>
    <w:sdtEndPr/>
    <w:sdtContent>
      <w:p w14:paraId="3FA0E6C2" w14:textId="20D24EF7" w:rsidR="00CF7A8A" w:rsidRDefault="00CF7A8A">
        <w:pPr>
          <w:pStyle w:val="aa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50C0" w:rsidRPr="003150C0">
          <w:rPr>
            <w:noProof/>
            <w:lang w:val="zh-CN"/>
          </w:rPr>
          <w:t>4</w:t>
        </w:r>
        <w:r>
          <w:fldChar w:fldCharType="end"/>
        </w:r>
      </w:p>
    </w:sdtContent>
  </w:sdt>
  <w:p w14:paraId="6E78E449" w14:textId="77777777" w:rsidR="009C47BF" w:rsidRDefault="009C47BF">
    <w:pPr>
      <w:pStyle w:val="aa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253885"/>
      <w:docPartObj>
        <w:docPartGallery w:val="Page Numbers (Bottom of Page)"/>
        <w:docPartUnique/>
      </w:docPartObj>
    </w:sdtPr>
    <w:sdtEndPr/>
    <w:sdtContent>
      <w:p w14:paraId="28957D8A" w14:textId="54413220" w:rsidR="00CF7A8A" w:rsidRDefault="00CF7A8A">
        <w:pPr>
          <w:pStyle w:val="aa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502EA" w:rsidRPr="00E502EA">
          <w:rPr>
            <w:noProof/>
            <w:lang w:val="zh-CN"/>
          </w:rPr>
          <w:t>1</w:t>
        </w:r>
        <w:r>
          <w:fldChar w:fldCharType="end"/>
        </w:r>
      </w:p>
    </w:sdtContent>
  </w:sdt>
  <w:p w14:paraId="452DBA91" w14:textId="77777777" w:rsidR="00CF7A8A" w:rsidRDefault="00CF7A8A">
    <w:pPr>
      <w:pStyle w:val="aa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31D205" w14:textId="77777777" w:rsidR="009C47BF" w:rsidRDefault="009C47BF">
      <w:pPr>
        <w:ind w:firstLine="420"/>
      </w:pPr>
      <w:r>
        <w:separator/>
      </w:r>
    </w:p>
  </w:footnote>
  <w:footnote w:type="continuationSeparator" w:id="0">
    <w:p w14:paraId="530E548A" w14:textId="77777777" w:rsidR="009C47BF" w:rsidRDefault="009C47BF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576361" w14:textId="77777777" w:rsidR="009C47BF" w:rsidRDefault="009C47BF">
    <w:pPr>
      <w:pStyle w:val="ac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A50BBB" w14:textId="77777777" w:rsidR="009C47BF" w:rsidRPr="00C568BE" w:rsidRDefault="009C47BF" w:rsidP="00930241">
    <w:pPr>
      <w:pStyle w:val="ac"/>
      <w:pBdr>
        <w:bottom w:val="none" w:sz="0" w:space="0" w:color="auto"/>
      </w:pBdr>
      <w:ind w:firstLine="360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E2542A" w14:textId="6C3E6094" w:rsidR="009C47BF" w:rsidRDefault="009C47BF">
    <w:pPr>
      <w:pStyle w:val="ac"/>
      <w:pBdr>
        <w:bottom w:val="none" w:sz="0" w:space="0" w:color="auto"/>
      </w:pBdr>
      <w:ind w:right="720" w:firstLineChars="0" w:firstLine="0"/>
      <w:jc w:val="both"/>
      <w:rPr>
        <w:rFonts w:eastAsiaTheme="minor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5A4187"/>
    <w:multiLevelType w:val="hybridMultilevel"/>
    <w:tmpl w:val="4B5452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B00C21"/>
    <w:multiLevelType w:val="multilevel"/>
    <w:tmpl w:val="43B00C21"/>
    <w:lvl w:ilvl="0">
      <w:start w:val="1"/>
      <w:numFmt w:val="bullet"/>
      <w:lvlText w:val=""/>
      <w:lvlJc w:val="left"/>
      <w:pPr>
        <w:ind w:left="8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2" w15:restartNumberingAfterBreak="0">
    <w:nsid w:val="4D661A69"/>
    <w:multiLevelType w:val="multilevel"/>
    <w:tmpl w:val="EAB26F44"/>
    <w:lvl w:ilvl="0">
      <w:start w:val="1"/>
      <w:numFmt w:val="decimal"/>
      <w:lvlRestart w:val="0"/>
      <w:suff w:val="space"/>
      <w:lvlText w:val="%1."/>
      <w:lvlJc w:val="left"/>
      <w:pPr>
        <w:ind w:left="432" w:hanging="432"/>
      </w:pPr>
    </w:lvl>
    <w:lvl w:ilvl="1">
      <w:start w:val="1"/>
      <w:numFmt w:val="decimal"/>
      <w:suff w:val="space"/>
      <w:lvlText w:val="%1.%2"/>
      <w:lvlJc w:val="left"/>
      <w:pPr>
        <w:ind w:left="576" w:hanging="576"/>
      </w:pPr>
    </w:lvl>
    <w:lvl w:ilvl="2">
      <w:start w:val="1"/>
      <w:numFmt w:val="decimal"/>
      <w:suff w:val="space"/>
      <w:lvlText w:val="%1.%2.%3"/>
      <w:lvlJc w:val="left"/>
      <w:pPr>
        <w:ind w:left="720" w:hanging="720"/>
      </w:pPr>
    </w:lvl>
    <w:lvl w:ilvl="3">
      <w:start w:val="1"/>
      <w:numFmt w:val="decimal"/>
      <w:suff w:val="space"/>
      <w:lvlText w:val="%1.%2.%3.%4"/>
      <w:lvlJc w:val="left"/>
      <w:pPr>
        <w:ind w:left="864" w:hanging="864"/>
      </w:pPr>
    </w:lvl>
    <w:lvl w:ilvl="4">
      <w:start w:val="1"/>
      <w:numFmt w:val="decimal"/>
      <w:suff w:val="space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2"/>
  </w:num>
  <w:num w:numId="5">
    <w:abstractNumId w:val="2"/>
  </w:num>
  <w:num w:numId="6">
    <w:abstractNumId w:val="2"/>
  </w:num>
  <w:num w:numId="7">
    <w:abstractNumId w:val="2"/>
  </w:num>
  <w:num w:numId="8">
    <w:abstractNumId w:val="2"/>
  </w:num>
  <w:num w:numId="9">
    <w:abstractNumId w:val="2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hyphenationZone w:val="425"/>
  <w:drawingGridHorizontalSpacing w:val="105"/>
  <w:drawingGridVerticalSpacing w:val="297"/>
  <w:displayHorizontalDrawingGridEvery w:val="0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xtfadd9bzfzametpv559z5z0fez09z0daf2&quot;&gt;EndNote_AC&lt;record-ids&gt;&lt;item&gt;308&lt;/item&gt;&lt;item&gt;388&lt;/item&gt;&lt;item&gt;486&lt;/item&gt;&lt;item&gt;487&lt;/item&gt;&lt;item&gt;488&lt;/item&gt;&lt;item&gt;490&lt;/item&gt;&lt;item&gt;491&lt;/item&gt;&lt;item&gt;492&lt;/item&gt;&lt;item&gt;493&lt;/item&gt;&lt;item&gt;494&lt;/item&gt;&lt;item&gt;495&lt;/item&gt;&lt;item&gt;496&lt;/item&gt;&lt;/record-ids&gt;&lt;/item&gt;&lt;/Libraries&gt;"/>
  </w:docVars>
  <w:rsids>
    <w:rsidRoot w:val="009E5ACC"/>
    <w:rsid w:val="00006B0E"/>
    <w:rsid w:val="00017A4A"/>
    <w:rsid w:val="000208F9"/>
    <w:rsid w:val="000232E3"/>
    <w:rsid w:val="00024B7C"/>
    <w:rsid w:val="00025C92"/>
    <w:rsid w:val="00030FCE"/>
    <w:rsid w:val="0003257C"/>
    <w:rsid w:val="00036C4F"/>
    <w:rsid w:val="00041CE3"/>
    <w:rsid w:val="00043685"/>
    <w:rsid w:val="00052239"/>
    <w:rsid w:val="00053C56"/>
    <w:rsid w:val="00054E17"/>
    <w:rsid w:val="0006111D"/>
    <w:rsid w:val="00064672"/>
    <w:rsid w:val="00065B30"/>
    <w:rsid w:val="000663FD"/>
    <w:rsid w:val="0007071E"/>
    <w:rsid w:val="00070E64"/>
    <w:rsid w:val="00071890"/>
    <w:rsid w:val="000841B2"/>
    <w:rsid w:val="000844FB"/>
    <w:rsid w:val="00086032"/>
    <w:rsid w:val="000943D4"/>
    <w:rsid w:val="000946FB"/>
    <w:rsid w:val="000948E3"/>
    <w:rsid w:val="0009624F"/>
    <w:rsid w:val="000A172C"/>
    <w:rsid w:val="000A4065"/>
    <w:rsid w:val="000B1C3D"/>
    <w:rsid w:val="000B71B3"/>
    <w:rsid w:val="000C064B"/>
    <w:rsid w:val="000D0231"/>
    <w:rsid w:val="000D264D"/>
    <w:rsid w:val="000D3BD8"/>
    <w:rsid w:val="000D451D"/>
    <w:rsid w:val="000D56E8"/>
    <w:rsid w:val="000E05CB"/>
    <w:rsid w:val="000E119C"/>
    <w:rsid w:val="000F03ED"/>
    <w:rsid w:val="000F16DA"/>
    <w:rsid w:val="000F28CA"/>
    <w:rsid w:val="000F7812"/>
    <w:rsid w:val="001044F9"/>
    <w:rsid w:val="0010540D"/>
    <w:rsid w:val="0010669B"/>
    <w:rsid w:val="001069F4"/>
    <w:rsid w:val="00117004"/>
    <w:rsid w:val="001211EB"/>
    <w:rsid w:val="001222F2"/>
    <w:rsid w:val="00131D2F"/>
    <w:rsid w:val="00135C63"/>
    <w:rsid w:val="00140F55"/>
    <w:rsid w:val="0014238F"/>
    <w:rsid w:val="001429E9"/>
    <w:rsid w:val="00144088"/>
    <w:rsid w:val="00145C81"/>
    <w:rsid w:val="00150317"/>
    <w:rsid w:val="00150522"/>
    <w:rsid w:val="00152451"/>
    <w:rsid w:val="00160147"/>
    <w:rsid w:val="00161EC3"/>
    <w:rsid w:val="001650BD"/>
    <w:rsid w:val="001667E8"/>
    <w:rsid w:val="00166F5A"/>
    <w:rsid w:val="0017180E"/>
    <w:rsid w:val="001721BE"/>
    <w:rsid w:val="00177274"/>
    <w:rsid w:val="001947CD"/>
    <w:rsid w:val="00195416"/>
    <w:rsid w:val="0019718E"/>
    <w:rsid w:val="001A2BCE"/>
    <w:rsid w:val="001A3D59"/>
    <w:rsid w:val="001A6781"/>
    <w:rsid w:val="001A6DED"/>
    <w:rsid w:val="001B11AC"/>
    <w:rsid w:val="001B12BC"/>
    <w:rsid w:val="001B4A5A"/>
    <w:rsid w:val="001B4FF6"/>
    <w:rsid w:val="001B563D"/>
    <w:rsid w:val="001D0E7B"/>
    <w:rsid w:val="001D3AD3"/>
    <w:rsid w:val="001D53A4"/>
    <w:rsid w:val="001E11C8"/>
    <w:rsid w:val="001E4F96"/>
    <w:rsid w:val="001E6DA0"/>
    <w:rsid w:val="001F0871"/>
    <w:rsid w:val="001F0FBA"/>
    <w:rsid w:val="001F4787"/>
    <w:rsid w:val="001F62EB"/>
    <w:rsid w:val="00212523"/>
    <w:rsid w:val="0021561A"/>
    <w:rsid w:val="0021587A"/>
    <w:rsid w:val="00216F6E"/>
    <w:rsid w:val="00217EB8"/>
    <w:rsid w:val="002245F2"/>
    <w:rsid w:val="0022537B"/>
    <w:rsid w:val="0022621A"/>
    <w:rsid w:val="00226416"/>
    <w:rsid w:val="0023558C"/>
    <w:rsid w:val="00241CF6"/>
    <w:rsid w:val="00246CEC"/>
    <w:rsid w:val="00252EA2"/>
    <w:rsid w:val="00266B3B"/>
    <w:rsid w:val="00270F4B"/>
    <w:rsid w:val="00290CA6"/>
    <w:rsid w:val="00293710"/>
    <w:rsid w:val="00296CF7"/>
    <w:rsid w:val="00297B6A"/>
    <w:rsid w:val="00297DC6"/>
    <w:rsid w:val="002A327B"/>
    <w:rsid w:val="002B339E"/>
    <w:rsid w:val="002B37AC"/>
    <w:rsid w:val="002B50D7"/>
    <w:rsid w:val="002C202A"/>
    <w:rsid w:val="002C2A4A"/>
    <w:rsid w:val="002C6EC0"/>
    <w:rsid w:val="002D2F80"/>
    <w:rsid w:val="002D78B6"/>
    <w:rsid w:val="002E3EB2"/>
    <w:rsid w:val="002E5719"/>
    <w:rsid w:val="002E6DAA"/>
    <w:rsid w:val="002F0405"/>
    <w:rsid w:val="002F0FAF"/>
    <w:rsid w:val="002F792A"/>
    <w:rsid w:val="00303323"/>
    <w:rsid w:val="003046A3"/>
    <w:rsid w:val="00307D22"/>
    <w:rsid w:val="003121EF"/>
    <w:rsid w:val="003150C0"/>
    <w:rsid w:val="0032065F"/>
    <w:rsid w:val="00320D56"/>
    <w:rsid w:val="00322547"/>
    <w:rsid w:val="003230D8"/>
    <w:rsid w:val="00324D37"/>
    <w:rsid w:val="003257E1"/>
    <w:rsid w:val="00334991"/>
    <w:rsid w:val="0033681B"/>
    <w:rsid w:val="0034350F"/>
    <w:rsid w:val="00344137"/>
    <w:rsid w:val="00345A68"/>
    <w:rsid w:val="0034640D"/>
    <w:rsid w:val="00351057"/>
    <w:rsid w:val="00352C75"/>
    <w:rsid w:val="00354CAC"/>
    <w:rsid w:val="00361B34"/>
    <w:rsid w:val="00362047"/>
    <w:rsid w:val="00371F6D"/>
    <w:rsid w:val="0037287A"/>
    <w:rsid w:val="00373506"/>
    <w:rsid w:val="003850A7"/>
    <w:rsid w:val="0038713D"/>
    <w:rsid w:val="00395650"/>
    <w:rsid w:val="003A277C"/>
    <w:rsid w:val="003A7D8B"/>
    <w:rsid w:val="003B3D9A"/>
    <w:rsid w:val="003B3ED8"/>
    <w:rsid w:val="003B4A74"/>
    <w:rsid w:val="003B6F47"/>
    <w:rsid w:val="003C0226"/>
    <w:rsid w:val="003C17E5"/>
    <w:rsid w:val="003D0390"/>
    <w:rsid w:val="003D0626"/>
    <w:rsid w:val="003D528F"/>
    <w:rsid w:val="003D7042"/>
    <w:rsid w:val="003E0EAD"/>
    <w:rsid w:val="003E2710"/>
    <w:rsid w:val="003F3879"/>
    <w:rsid w:val="003F49DC"/>
    <w:rsid w:val="003F637F"/>
    <w:rsid w:val="004140F4"/>
    <w:rsid w:val="004204B7"/>
    <w:rsid w:val="00421684"/>
    <w:rsid w:val="00422F13"/>
    <w:rsid w:val="0042609F"/>
    <w:rsid w:val="00426FA4"/>
    <w:rsid w:val="00433E44"/>
    <w:rsid w:val="00436BDB"/>
    <w:rsid w:val="00441196"/>
    <w:rsid w:val="00441977"/>
    <w:rsid w:val="00445C0A"/>
    <w:rsid w:val="00464333"/>
    <w:rsid w:val="00464409"/>
    <w:rsid w:val="004843AB"/>
    <w:rsid w:val="004849BE"/>
    <w:rsid w:val="0048643C"/>
    <w:rsid w:val="0049158E"/>
    <w:rsid w:val="00492F65"/>
    <w:rsid w:val="004A568F"/>
    <w:rsid w:val="004B4C5D"/>
    <w:rsid w:val="004B5A89"/>
    <w:rsid w:val="004C14C7"/>
    <w:rsid w:val="004C389C"/>
    <w:rsid w:val="004D04F6"/>
    <w:rsid w:val="004D08FC"/>
    <w:rsid w:val="004D160F"/>
    <w:rsid w:val="004D2A57"/>
    <w:rsid w:val="004D7199"/>
    <w:rsid w:val="004D7E19"/>
    <w:rsid w:val="004E6174"/>
    <w:rsid w:val="004E76FB"/>
    <w:rsid w:val="004E7EFF"/>
    <w:rsid w:val="004F0470"/>
    <w:rsid w:val="004F114E"/>
    <w:rsid w:val="004F4159"/>
    <w:rsid w:val="004F6BFD"/>
    <w:rsid w:val="0050095D"/>
    <w:rsid w:val="005010D9"/>
    <w:rsid w:val="005016E9"/>
    <w:rsid w:val="005052C6"/>
    <w:rsid w:val="005077A0"/>
    <w:rsid w:val="00515A7D"/>
    <w:rsid w:val="00521AC4"/>
    <w:rsid w:val="005357F5"/>
    <w:rsid w:val="00542338"/>
    <w:rsid w:val="00542DEC"/>
    <w:rsid w:val="00546736"/>
    <w:rsid w:val="005514D4"/>
    <w:rsid w:val="0055248C"/>
    <w:rsid w:val="00555F55"/>
    <w:rsid w:val="00563865"/>
    <w:rsid w:val="00563BF9"/>
    <w:rsid w:val="00563F3A"/>
    <w:rsid w:val="00564368"/>
    <w:rsid w:val="0056458A"/>
    <w:rsid w:val="00572548"/>
    <w:rsid w:val="00577A1A"/>
    <w:rsid w:val="00580FD7"/>
    <w:rsid w:val="0058199F"/>
    <w:rsid w:val="00581A15"/>
    <w:rsid w:val="0059238B"/>
    <w:rsid w:val="005B579F"/>
    <w:rsid w:val="005C3DA0"/>
    <w:rsid w:val="005C5063"/>
    <w:rsid w:val="005C59A5"/>
    <w:rsid w:val="005C6987"/>
    <w:rsid w:val="005C743F"/>
    <w:rsid w:val="005D06C0"/>
    <w:rsid w:val="005D41EA"/>
    <w:rsid w:val="005D581A"/>
    <w:rsid w:val="005D73AD"/>
    <w:rsid w:val="005E1B17"/>
    <w:rsid w:val="005E32B7"/>
    <w:rsid w:val="005E33C6"/>
    <w:rsid w:val="005E3BD1"/>
    <w:rsid w:val="005E7FDC"/>
    <w:rsid w:val="005F1E3E"/>
    <w:rsid w:val="005F6A3E"/>
    <w:rsid w:val="00601D68"/>
    <w:rsid w:val="00602920"/>
    <w:rsid w:val="0060564B"/>
    <w:rsid w:val="00610F71"/>
    <w:rsid w:val="006143D2"/>
    <w:rsid w:val="00622FB3"/>
    <w:rsid w:val="00624FA2"/>
    <w:rsid w:val="00633371"/>
    <w:rsid w:val="0064235E"/>
    <w:rsid w:val="00643C8B"/>
    <w:rsid w:val="00650428"/>
    <w:rsid w:val="0065385F"/>
    <w:rsid w:val="00653A32"/>
    <w:rsid w:val="00667EEC"/>
    <w:rsid w:val="00671EEA"/>
    <w:rsid w:val="00673574"/>
    <w:rsid w:val="00677A49"/>
    <w:rsid w:val="00677FF1"/>
    <w:rsid w:val="00682808"/>
    <w:rsid w:val="006846AC"/>
    <w:rsid w:val="00684A14"/>
    <w:rsid w:val="006874AE"/>
    <w:rsid w:val="00690220"/>
    <w:rsid w:val="00691A23"/>
    <w:rsid w:val="00692830"/>
    <w:rsid w:val="006953F4"/>
    <w:rsid w:val="006A539E"/>
    <w:rsid w:val="006A684E"/>
    <w:rsid w:val="006B195A"/>
    <w:rsid w:val="006C210B"/>
    <w:rsid w:val="006C399C"/>
    <w:rsid w:val="006C62C5"/>
    <w:rsid w:val="006C66B8"/>
    <w:rsid w:val="006C6EBD"/>
    <w:rsid w:val="006D2A37"/>
    <w:rsid w:val="006D4009"/>
    <w:rsid w:val="006D4338"/>
    <w:rsid w:val="006D533A"/>
    <w:rsid w:val="006D6111"/>
    <w:rsid w:val="006D7449"/>
    <w:rsid w:val="006E3610"/>
    <w:rsid w:val="006E55E6"/>
    <w:rsid w:val="006E73D4"/>
    <w:rsid w:val="007026B4"/>
    <w:rsid w:val="0071081B"/>
    <w:rsid w:val="00710C93"/>
    <w:rsid w:val="00715847"/>
    <w:rsid w:val="007201C3"/>
    <w:rsid w:val="007260B5"/>
    <w:rsid w:val="0072620D"/>
    <w:rsid w:val="007279CB"/>
    <w:rsid w:val="00730312"/>
    <w:rsid w:val="0073145D"/>
    <w:rsid w:val="00740B43"/>
    <w:rsid w:val="00740FB4"/>
    <w:rsid w:val="007415A5"/>
    <w:rsid w:val="007420EA"/>
    <w:rsid w:val="00745398"/>
    <w:rsid w:val="00745A04"/>
    <w:rsid w:val="007500E5"/>
    <w:rsid w:val="007522F6"/>
    <w:rsid w:val="007564AF"/>
    <w:rsid w:val="00756C20"/>
    <w:rsid w:val="00756FAF"/>
    <w:rsid w:val="0076136C"/>
    <w:rsid w:val="00767902"/>
    <w:rsid w:val="007729EB"/>
    <w:rsid w:val="007761BF"/>
    <w:rsid w:val="00776912"/>
    <w:rsid w:val="00777CBE"/>
    <w:rsid w:val="00780988"/>
    <w:rsid w:val="007829F9"/>
    <w:rsid w:val="007839CB"/>
    <w:rsid w:val="00786D79"/>
    <w:rsid w:val="0079146D"/>
    <w:rsid w:val="00792208"/>
    <w:rsid w:val="007953EF"/>
    <w:rsid w:val="00795F93"/>
    <w:rsid w:val="00797357"/>
    <w:rsid w:val="007A0419"/>
    <w:rsid w:val="007A2221"/>
    <w:rsid w:val="007A319D"/>
    <w:rsid w:val="007B1C80"/>
    <w:rsid w:val="007C1DEA"/>
    <w:rsid w:val="007C44CA"/>
    <w:rsid w:val="007C4D57"/>
    <w:rsid w:val="007C556B"/>
    <w:rsid w:val="007C6EE3"/>
    <w:rsid w:val="007D2560"/>
    <w:rsid w:val="007D3773"/>
    <w:rsid w:val="007D5722"/>
    <w:rsid w:val="007E25D6"/>
    <w:rsid w:val="007E3EDA"/>
    <w:rsid w:val="007E7768"/>
    <w:rsid w:val="007E7830"/>
    <w:rsid w:val="007F5FFC"/>
    <w:rsid w:val="007F7ED0"/>
    <w:rsid w:val="0080393B"/>
    <w:rsid w:val="00803A60"/>
    <w:rsid w:val="00820418"/>
    <w:rsid w:val="008207A8"/>
    <w:rsid w:val="00825410"/>
    <w:rsid w:val="00825850"/>
    <w:rsid w:val="0082597F"/>
    <w:rsid w:val="008338C7"/>
    <w:rsid w:val="008342B5"/>
    <w:rsid w:val="008349B6"/>
    <w:rsid w:val="008363DD"/>
    <w:rsid w:val="00840266"/>
    <w:rsid w:val="008512C2"/>
    <w:rsid w:val="00851C55"/>
    <w:rsid w:val="00852351"/>
    <w:rsid w:val="00852937"/>
    <w:rsid w:val="008557A3"/>
    <w:rsid w:val="00864022"/>
    <w:rsid w:val="00871810"/>
    <w:rsid w:val="0088463A"/>
    <w:rsid w:val="00885617"/>
    <w:rsid w:val="00893FE9"/>
    <w:rsid w:val="00897E7D"/>
    <w:rsid w:val="008A0507"/>
    <w:rsid w:val="008A0C91"/>
    <w:rsid w:val="008A498A"/>
    <w:rsid w:val="008A5ACD"/>
    <w:rsid w:val="008A752A"/>
    <w:rsid w:val="008B10F3"/>
    <w:rsid w:val="008B221D"/>
    <w:rsid w:val="008B265C"/>
    <w:rsid w:val="008B26F0"/>
    <w:rsid w:val="008B40F8"/>
    <w:rsid w:val="008B4DF6"/>
    <w:rsid w:val="008C280B"/>
    <w:rsid w:val="008C6033"/>
    <w:rsid w:val="008D0C1F"/>
    <w:rsid w:val="008E7271"/>
    <w:rsid w:val="008E72DD"/>
    <w:rsid w:val="008E7892"/>
    <w:rsid w:val="008F2B5D"/>
    <w:rsid w:val="008F3014"/>
    <w:rsid w:val="008F6B2D"/>
    <w:rsid w:val="008F6DB3"/>
    <w:rsid w:val="009021A4"/>
    <w:rsid w:val="0090302C"/>
    <w:rsid w:val="009202F3"/>
    <w:rsid w:val="00923E49"/>
    <w:rsid w:val="00924D82"/>
    <w:rsid w:val="00925B8D"/>
    <w:rsid w:val="00930241"/>
    <w:rsid w:val="00930853"/>
    <w:rsid w:val="00944046"/>
    <w:rsid w:val="009441E7"/>
    <w:rsid w:val="00945112"/>
    <w:rsid w:val="009467D7"/>
    <w:rsid w:val="0095095E"/>
    <w:rsid w:val="009511E2"/>
    <w:rsid w:val="0095474D"/>
    <w:rsid w:val="009572FD"/>
    <w:rsid w:val="009579E7"/>
    <w:rsid w:val="009653FE"/>
    <w:rsid w:val="00967622"/>
    <w:rsid w:val="00976396"/>
    <w:rsid w:val="009764CD"/>
    <w:rsid w:val="00977CA2"/>
    <w:rsid w:val="0098142E"/>
    <w:rsid w:val="0098322B"/>
    <w:rsid w:val="00984267"/>
    <w:rsid w:val="00992D88"/>
    <w:rsid w:val="009A21E9"/>
    <w:rsid w:val="009A2774"/>
    <w:rsid w:val="009A40AC"/>
    <w:rsid w:val="009B2342"/>
    <w:rsid w:val="009B2780"/>
    <w:rsid w:val="009C33E0"/>
    <w:rsid w:val="009C47BF"/>
    <w:rsid w:val="009D2E36"/>
    <w:rsid w:val="009E28C3"/>
    <w:rsid w:val="009E4B1A"/>
    <w:rsid w:val="009E5ACC"/>
    <w:rsid w:val="009F1B48"/>
    <w:rsid w:val="009F3559"/>
    <w:rsid w:val="009F44C8"/>
    <w:rsid w:val="009F655D"/>
    <w:rsid w:val="00A01693"/>
    <w:rsid w:val="00A11F43"/>
    <w:rsid w:val="00A12747"/>
    <w:rsid w:val="00A12AC4"/>
    <w:rsid w:val="00A15254"/>
    <w:rsid w:val="00A17EAF"/>
    <w:rsid w:val="00A200AC"/>
    <w:rsid w:val="00A2205C"/>
    <w:rsid w:val="00A24A82"/>
    <w:rsid w:val="00A27162"/>
    <w:rsid w:val="00A309B3"/>
    <w:rsid w:val="00A440A1"/>
    <w:rsid w:val="00A44855"/>
    <w:rsid w:val="00A605B7"/>
    <w:rsid w:val="00A6118D"/>
    <w:rsid w:val="00A73F75"/>
    <w:rsid w:val="00A76C82"/>
    <w:rsid w:val="00A776B7"/>
    <w:rsid w:val="00A77DBF"/>
    <w:rsid w:val="00A82447"/>
    <w:rsid w:val="00A826F5"/>
    <w:rsid w:val="00A87E47"/>
    <w:rsid w:val="00A87EB2"/>
    <w:rsid w:val="00A92FA7"/>
    <w:rsid w:val="00A955D9"/>
    <w:rsid w:val="00A97F5B"/>
    <w:rsid w:val="00AA7B6E"/>
    <w:rsid w:val="00AB08F8"/>
    <w:rsid w:val="00AB4271"/>
    <w:rsid w:val="00AB7ADF"/>
    <w:rsid w:val="00AB7CAF"/>
    <w:rsid w:val="00AC05E1"/>
    <w:rsid w:val="00AC13E1"/>
    <w:rsid w:val="00AC5BF1"/>
    <w:rsid w:val="00AC66FA"/>
    <w:rsid w:val="00AD1227"/>
    <w:rsid w:val="00AD32F3"/>
    <w:rsid w:val="00AE1DEE"/>
    <w:rsid w:val="00AE28AE"/>
    <w:rsid w:val="00AE40FF"/>
    <w:rsid w:val="00AF0E57"/>
    <w:rsid w:val="00AF10DF"/>
    <w:rsid w:val="00AF12FF"/>
    <w:rsid w:val="00AF1B7E"/>
    <w:rsid w:val="00B0281A"/>
    <w:rsid w:val="00B02C3D"/>
    <w:rsid w:val="00B03754"/>
    <w:rsid w:val="00B04778"/>
    <w:rsid w:val="00B07049"/>
    <w:rsid w:val="00B107F4"/>
    <w:rsid w:val="00B11DD4"/>
    <w:rsid w:val="00B25DFC"/>
    <w:rsid w:val="00B2657C"/>
    <w:rsid w:val="00B27ED4"/>
    <w:rsid w:val="00B32F0C"/>
    <w:rsid w:val="00B330E1"/>
    <w:rsid w:val="00B343D1"/>
    <w:rsid w:val="00B37269"/>
    <w:rsid w:val="00B47699"/>
    <w:rsid w:val="00B53367"/>
    <w:rsid w:val="00B54D17"/>
    <w:rsid w:val="00B5516A"/>
    <w:rsid w:val="00B569EB"/>
    <w:rsid w:val="00B61C3A"/>
    <w:rsid w:val="00B67664"/>
    <w:rsid w:val="00B676F9"/>
    <w:rsid w:val="00B828A6"/>
    <w:rsid w:val="00B9679C"/>
    <w:rsid w:val="00B9735C"/>
    <w:rsid w:val="00B97AFF"/>
    <w:rsid w:val="00BA1FDA"/>
    <w:rsid w:val="00BA2D4D"/>
    <w:rsid w:val="00BA3CBA"/>
    <w:rsid w:val="00BA7483"/>
    <w:rsid w:val="00BA7C1E"/>
    <w:rsid w:val="00BB07EC"/>
    <w:rsid w:val="00BB799F"/>
    <w:rsid w:val="00BC195F"/>
    <w:rsid w:val="00BC6A8C"/>
    <w:rsid w:val="00BD1B97"/>
    <w:rsid w:val="00BD37BC"/>
    <w:rsid w:val="00BD7BBE"/>
    <w:rsid w:val="00BE4BFE"/>
    <w:rsid w:val="00BF187C"/>
    <w:rsid w:val="00BF34A5"/>
    <w:rsid w:val="00C048A6"/>
    <w:rsid w:val="00C0596C"/>
    <w:rsid w:val="00C121CD"/>
    <w:rsid w:val="00C12214"/>
    <w:rsid w:val="00C152FB"/>
    <w:rsid w:val="00C16635"/>
    <w:rsid w:val="00C172EF"/>
    <w:rsid w:val="00C22499"/>
    <w:rsid w:val="00C231B3"/>
    <w:rsid w:val="00C259F9"/>
    <w:rsid w:val="00C375E4"/>
    <w:rsid w:val="00C41A70"/>
    <w:rsid w:val="00C4729A"/>
    <w:rsid w:val="00C47E9C"/>
    <w:rsid w:val="00C52332"/>
    <w:rsid w:val="00C52B7D"/>
    <w:rsid w:val="00C5583D"/>
    <w:rsid w:val="00C55B10"/>
    <w:rsid w:val="00C568BE"/>
    <w:rsid w:val="00C63B84"/>
    <w:rsid w:val="00C63ED4"/>
    <w:rsid w:val="00C64D9C"/>
    <w:rsid w:val="00C6776D"/>
    <w:rsid w:val="00C70E67"/>
    <w:rsid w:val="00C76CBF"/>
    <w:rsid w:val="00C81988"/>
    <w:rsid w:val="00C82550"/>
    <w:rsid w:val="00C84F25"/>
    <w:rsid w:val="00C8531D"/>
    <w:rsid w:val="00C86D61"/>
    <w:rsid w:val="00C872C2"/>
    <w:rsid w:val="00C93F3D"/>
    <w:rsid w:val="00C94B05"/>
    <w:rsid w:val="00C95FB6"/>
    <w:rsid w:val="00CA1DB1"/>
    <w:rsid w:val="00CC4C64"/>
    <w:rsid w:val="00CD0549"/>
    <w:rsid w:val="00CD7844"/>
    <w:rsid w:val="00CE563F"/>
    <w:rsid w:val="00CE6E44"/>
    <w:rsid w:val="00CF1680"/>
    <w:rsid w:val="00CF2AD2"/>
    <w:rsid w:val="00CF3C3E"/>
    <w:rsid w:val="00CF4448"/>
    <w:rsid w:val="00CF7A8A"/>
    <w:rsid w:val="00D0100D"/>
    <w:rsid w:val="00D11C1A"/>
    <w:rsid w:val="00D1487D"/>
    <w:rsid w:val="00D14E69"/>
    <w:rsid w:val="00D168F0"/>
    <w:rsid w:val="00D16E0D"/>
    <w:rsid w:val="00D1732B"/>
    <w:rsid w:val="00D20EC0"/>
    <w:rsid w:val="00D21098"/>
    <w:rsid w:val="00D253F1"/>
    <w:rsid w:val="00D30141"/>
    <w:rsid w:val="00D3066E"/>
    <w:rsid w:val="00D30C29"/>
    <w:rsid w:val="00D44C60"/>
    <w:rsid w:val="00D47E17"/>
    <w:rsid w:val="00D527AF"/>
    <w:rsid w:val="00D554EE"/>
    <w:rsid w:val="00D6387D"/>
    <w:rsid w:val="00D65764"/>
    <w:rsid w:val="00D6583C"/>
    <w:rsid w:val="00D66231"/>
    <w:rsid w:val="00D72875"/>
    <w:rsid w:val="00D748BE"/>
    <w:rsid w:val="00D77BFB"/>
    <w:rsid w:val="00D806DB"/>
    <w:rsid w:val="00D82AA4"/>
    <w:rsid w:val="00D84457"/>
    <w:rsid w:val="00D8595F"/>
    <w:rsid w:val="00D87F35"/>
    <w:rsid w:val="00D94527"/>
    <w:rsid w:val="00D95A80"/>
    <w:rsid w:val="00DA089E"/>
    <w:rsid w:val="00DA2005"/>
    <w:rsid w:val="00DA3A15"/>
    <w:rsid w:val="00DA4013"/>
    <w:rsid w:val="00DA4593"/>
    <w:rsid w:val="00DB1440"/>
    <w:rsid w:val="00DB37D6"/>
    <w:rsid w:val="00DB4D08"/>
    <w:rsid w:val="00DB6A77"/>
    <w:rsid w:val="00DC0219"/>
    <w:rsid w:val="00DC1D6C"/>
    <w:rsid w:val="00DC3662"/>
    <w:rsid w:val="00DD0FCC"/>
    <w:rsid w:val="00DD0FDB"/>
    <w:rsid w:val="00DD2E63"/>
    <w:rsid w:val="00DD3218"/>
    <w:rsid w:val="00DD4F88"/>
    <w:rsid w:val="00DE1D6D"/>
    <w:rsid w:val="00DE2ABD"/>
    <w:rsid w:val="00DE6E49"/>
    <w:rsid w:val="00DE74B0"/>
    <w:rsid w:val="00DF1283"/>
    <w:rsid w:val="00DF2492"/>
    <w:rsid w:val="00E03969"/>
    <w:rsid w:val="00E04E32"/>
    <w:rsid w:val="00E1109B"/>
    <w:rsid w:val="00E14103"/>
    <w:rsid w:val="00E147B1"/>
    <w:rsid w:val="00E16404"/>
    <w:rsid w:val="00E378C2"/>
    <w:rsid w:val="00E46CD5"/>
    <w:rsid w:val="00E476F4"/>
    <w:rsid w:val="00E479EA"/>
    <w:rsid w:val="00E502EA"/>
    <w:rsid w:val="00E510DC"/>
    <w:rsid w:val="00E549CF"/>
    <w:rsid w:val="00E60E94"/>
    <w:rsid w:val="00E72007"/>
    <w:rsid w:val="00E81492"/>
    <w:rsid w:val="00E848D4"/>
    <w:rsid w:val="00E85B10"/>
    <w:rsid w:val="00E8684F"/>
    <w:rsid w:val="00E90E9D"/>
    <w:rsid w:val="00E92526"/>
    <w:rsid w:val="00E92D48"/>
    <w:rsid w:val="00E93D51"/>
    <w:rsid w:val="00E94CAD"/>
    <w:rsid w:val="00E95A27"/>
    <w:rsid w:val="00E96033"/>
    <w:rsid w:val="00EA7365"/>
    <w:rsid w:val="00EA7BE0"/>
    <w:rsid w:val="00EB1961"/>
    <w:rsid w:val="00EB7C3C"/>
    <w:rsid w:val="00EC07DB"/>
    <w:rsid w:val="00EC226D"/>
    <w:rsid w:val="00ED2460"/>
    <w:rsid w:val="00ED267D"/>
    <w:rsid w:val="00EE613D"/>
    <w:rsid w:val="00EE7E7D"/>
    <w:rsid w:val="00EF15F1"/>
    <w:rsid w:val="00EF16E1"/>
    <w:rsid w:val="00EF45A6"/>
    <w:rsid w:val="00F002E5"/>
    <w:rsid w:val="00F00839"/>
    <w:rsid w:val="00F03896"/>
    <w:rsid w:val="00F10FF5"/>
    <w:rsid w:val="00F117A5"/>
    <w:rsid w:val="00F12398"/>
    <w:rsid w:val="00F1297C"/>
    <w:rsid w:val="00F129FD"/>
    <w:rsid w:val="00F14586"/>
    <w:rsid w:val="00F14A21"/>
    <w:rsid w:val="00F154FB"/>
    <w:rsid w:val="00F15568"/>
    <w:rsid w:val="00F1582D"/>
    <w:rsid w:val="00F21214"/>
    <w:rsid w:val="00F214D2"/>
    <w:rsid w:val="00F224B9"/>
    <w:rsid w:val="00F23618"/>
    <w:rsid w:val="00F24F3F"/>
    <w:rsid w:val="00F269EE"/>
    <w:rsid w:val="00F2704C"/>
    <w:rsid w:val="00F27A50"/>
    <w:rsid w:val="00F40281"/>
    <w:rsid w:val="00F51C18"/>
    <w:rsid w:val="00F553E5"/>
    <w:rsid w:val="00F65B7B"/>
    <w:rsid w:val="00F767C9"/>
    <w:rsid w:val="00F85FCF"/>
    <w:rsid w:val="00F924AA"/>
    <w:rsid w:val="00F94404"/>
    <w:rsid w:val="00F953C1"/>
    <w:rsid w:val="00F96299"/>
    <w:rsid w:val="00FA628F"/>
    <w:rsid w:val="00FA7422"/>
    <w:rsid w:val="00FB13C5"/>
    <w:rsid w:val="00FB513B"/>
    <w:rsid w:val="00FB59B5"/>
    <w:rsid w:val="00FB610D"/>
    <w:rsid w:val="00FC2396"/>
    <w:rsid w:val="00FC2BEA"/>
    <w:rsid w:val="00FC5668"/>
    <w:rsid w:val="00FD2EFF"/>
    <w:rsid w:val="00FD46E9"/>
    <w:rsid w:val="00FE046D"/>
    <w:rsid w:val="00FE7E4C"/>
    <w:rsid w:val="00FF0135"/>
    <w:rsid w:val="00FF1130"/>
    <w:rsid w:val="00FF1392"/>
    <w:rsid w:val="00FF2CA7"/>
    <w:rsid w:val="00FF5195"/>
    <w:rsid w:val="16DF5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6763B93"/>
  <w15:docId w15:val="{FF789814-9AB6-4A8F-A85E-C79DA7FDEB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等线" w:eastAsia="等线" w:hAnsi="等线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uiPriority="9" w:unhideWhenUsed="1" w:qFormat="1"/>
    <w:lsdException w:name="heading 3" w:uiPriority="9" w:unhideWhenUsed="1" w:qFormat="1"/>
    <w:lsdException w:name="heading 4" w:uiPriority="9" w:qFormat="1"/>
    <w:lsdException w:name="heading 5" w:uiPriority="9" w:unhideWhenUsed="1" w:qFormat="1"/>
    <w:lsdException w:name="heading 6" w:uiPriority="9" w:unhideWhenUsed="1" w:qFormat="1"/>
    <w:lsdException w:name="heading 7" w:uiPriority="9" w:unhideWhenUsed="1" w:qFormat="1"/>
    <w:lsdException w:name="heading 8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 w:qFormat="1"/>
    <w:lsdException w:name="Table Grid" w:uiPriority="59" w:qFormat="1"/>
    <w:lsdException w:name="Placeholder Text" w:semiHidden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7A8A"/>
    <w:pPr>
      <w:widowControl w:val="0"/>
      <w:ind w:firstLineChars="200" w:firstLine="200"/>
      <w:jc w:val="both"/>
    </w:pPr>
    <w:rPr>
      <w:rFonts w:ascii="Times New Roman" w:eastAsia="Times New Roman" w:hAnsi="Times New Roman"/>
      <w:kern w:val="2"/>
      <w:sz w:val="21"/>
      <w:szCs w:val="21"/>
    </w:rPr>
  </w:style>
  <w:style w:type="paragraph" w:styleId="1">
    <w:name w:val="heading 1"/>
    <w:aliases w:val="一级标题"/>
    <w:basedOn w:val="a"/>
    <w:next w:val="a"/>
    <w:link w:val="10"/>
    <w:autoRedefine/>
    <w:uiPriority w:val="1"/>
    <w:qFormat/>
    <w:rsid w:val="00CF7A8A"/>
    <w:pPr>
      <w:autoSpaceDE w:val="0"/>
      <w:autoSpaceDN w:val="0"/>
      <w:adjustRightInd w:val="0"/>
      <w:spacing w:beforeLines="100" w:before="312" w:afterLines="100" w:after="312"/>
      <w:ind w:firstLineChars="0" w:firstLine="0"/>
      <w:jc w:val="left"/>
      <w:outlineLvl w:val="0"/>
    </w:pPr>
    <w:rPr>
      <w:rFonts w:cs="Book Antiqua"/>
      <w:b/>
      <w:bCs/>
      <w:kern w:val="0"/>
      <w:sz w:val="24"/>
      <w:szCs w:val="20"/>
    </w:rPr>
  </w:style>
  <w:style w:type="paragraph" w:styleId="2">
    <w:name w:val="heading 2"/>
    <w:aliases w:val="二级标题"/>
    <w:basedOn w:val="a"/>
    <w:next w:val="a"/>
    <w:link w:val="20"/>
    <w:autoRedefine/>
    <w:uiPriority w:val="9"/>
    <w:unhideWhenUsed/>
    <w:qFormat/>
    <w:rsid w:val="00CF7A8A"/>
    <w:pPr>
      <w:keepNext/>
      <w:keepLines/>
      <w:spacing w:beforeLines="50" w:before="156" w:afterLines="50" w:after="156"/>
      <w:ind w:firstLineChars="0" w:firstLine="0"/>
      <w:outlineLvl w:val="1"/>
    </w:pPr>
    <w:rPr>
      <w:b/>
      <w:bCs/>
      <w:i/>
      <w:sz w:val="22"/>
    </w:rPr>
  </w:style>
  <w:style w:type="paragraph" w:styleId="3">
    <w:name w:val="heading 3"/>
    <w:aliases w:val="三级标题"/>
    <w:basedOn w:val="a"/>
    <w:next w:val="a"/>
    <w:link w:val="30"/>
    <w:autoRedefine/>
    <w:uiPriority w:val="9"/>
    <w:unhideWhenUsed/>
    <w:qFormat/>
    <w:rsid w:val="00CF7A8A"/>
    <w:pPr>
      <w:keepNext/>
      <w:keepLines/>
      <w:spacing w:beforeLines="50" w:before="156" w:afterLines="50" w:after="156"/>
      <w:ind w:firstLineChars="0" w:firstLine="0"/>
      <w:outlineLvl w:val="2"/>
    </w:pPr>
    <w:rPr>
      <w:bCs/>
      <w:i/>
      <w:sz w:val="22"/>
      <w:szCs w:val="32"/>
    </w:rPr>
  </w:style>
  <w:style w:type="paragraph" w:styleId="4">
    <w:name w:val="heading 4"/>
    <w:basedOn w:val="a"/>
    <w:next w:val="a"/>
    <w:link w:val="40"/>
    <w:uiPriority w:val="9"/>
    <w:qFormat/>
    <w:rsid w:val="00CF7A8A"/>
    <w:pPr>
      <w:keepNext/>
      <w:keepLines/>
      <w:spacing w:before="280" w:after="290" w:line="376" w:lineRule="auto"/>
      <w:ind w:firstLine="320"/>
      <w:outlineLvl w:val="3"/>
    </w:pPr>
    <w:rPr>
      <w:rFonts w:ascii="Calibri Light" w:eastAsia="NimbusRomNo9L" w:hAnsi="Calibri Light" w:cs="NimbusRomNo9L"/>
      <w:b/>
      <w:bCs/>
      <w:kern w:val="0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CF7A8A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CF7A8A"/>
    <w:pPr>
      <w:keepNext/>
      <w:keepLines/>
      <w:numPr>
        <w:ilvl w:val="5"/>
        <w:numId w:val="19"/>
      </w:numPr>
      <w:spacing w:before="240" w:after="64" w:line="320" w:lineRule="auto"/>
      <w:ind w:firstLineChars="0" w:firstLine="0"/>
      <w:outlineLvl w:val="5"/>
    </w:pPr>
    <w:rPr>
      <w:rFonts w:ascii="等线 Light" w:eastAsia="等线 Light" w:hAnsi="等线 Light"/>
      <w:b/>
      <w:bCs/>
      <w:sz w:val="24"/>
      <w:szCs w:val="24"/>
    </w:rPr>
  </w:style>
  <w:style w:type="paragraph" w:styleId="7">
    <w:name w:val="heading 7"/>
    <w:basedOn w:val="a"/>
    <w:next w:val="a"/>
    <w:link w:val="70"/>
    <w:uiPriority w:val="9"/>
    <w:unhideWhenUsed/>
    <w:qFormat/>
    <w:rsid w:val="00CF7A8A"/>
    <w:pPr>
      <w:keepNext/>
      <w:keepLines/>
      <w:numPr>
        <w:ilvl w:val="6"/>
        <w:numId w:val="19"/>
      </w:numPr>
      <w:spacing w:before="240" w:after="64" w:line="320" w:lineRule="auto"/>
      <w:ind w:firstLineChars="0" w:firstLine="0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CF7A8A"/>
    <w:pPr>
      <w:keepNext/>
      <w:keepLines/>
      <w:numPr>
        <w:ilvl w:val="7"/>
        <w:numId w:val="19"/>
      </w:numPr>
      <w:spacing w:before="240" w:after="64" w:line="320" w:lineRule="auto"/>
      <w:ind w:firstLineChars="0" w:firstLine="0"/>
      <w:outlineLvl w:val="7"/>
    </w:pPr>
    <w:rPr>
      <w:rFonts w:ascii="等线 Light" w:eastAsia="等线 Light" w:hAnsi="等线 Light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F7A8A"/>
    <w:pPr>
      <w:keepNext/>
      <w:keepLines/>
      <w:numPr>
        <w:ilvl w:val="8"/>
        <w:numId w:val="19"/>
      </w:numPr>
      <w:spacing w:before="240" w:after="64" w:line="320" w:lineRule="auto"/>
      <w:ind w:firstLineChars="0" w:firstLine="0"/>
      <w:outlineLvl w:val="8"/>
    </w:pPr>
    <w:rPr>
      <w:rFonts w:ascii="等线 Light" w:eastAsia="等线 Light" w:hAnsi="等线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</w:style>
  <w:style w:type="paragraph" w:styleId="a4">
    <w:name w:val="annotation text"/>
    <w:basedOn w:val="a"/>
    <w:link w:val="a5"/>
    <w:uiPriority w:val="99"/>
    <w:semiHidden/>
    <w:unhideWhenUsed/>
    <w:qFormat/>
  </w:style>
  <w:style w:type="paragraph" w:styleId="a6">
    <w:name w:val="Body Text"/>
    <w:basedOn w:val="a"/>
    <w:link w:val="a7"/>
    <w:autoRedefine/>
    <w:uiPriority w:val="1"/>
    <w:qFormat/>
    <w:rsid w:val="00CF7A8A"/>
    <w:pPr>
      <w:autoSpaceDE w:val="0"/>
      <w:autoSpaceDN w:val="0"/>
      <w:adjustRightInd w:val="0"/>
      <w:ind w:firstLine="420"/>
    </w:pPr>
    <w:rPr>
      <w:kern w:val="0"/>
    </w:rPr>
  </w:style>
  <w:style w:type="paragraph" w:styleId="a8">
    <w:name w:val="Balloon Text"/>
    <w:basedOn w:val="a"/>
    <w:link w:val="a9"/>
    <w:uiPriority w:val="99"/>
    <w:semiHidden/>
    <w:unhideWhenUsed/>
    <w:qFormat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CF7A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c">
    <w:name w:val="header"/>
    <w:basedOn w:val="a"/>
    <w:link w:val="ad"/>
    <w:uiPriority w:val="99"/>
    <w:unhideWhenUsed/>
    <w:rsid w:val="00CF7A8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e">
    <w:name w:val="Normal (Web)"/>
    <w:basedOn w:val="a"/>
    <w:uiPriority w:val="99"/>
    <w:unhideWhenUsed/>
    <w:rsid w:val="00CF7A8A"/>
    <w:pPr>
      <w:spacing w:before="100" w:beforeAutospacing="1" w:after="100" w:afterAutospacing="1"/>
    </w:pPr>
    <w:rPr>
      <w:lang w:eastAsia="en-US"/>
    </w:rPr>
  </w:style>
  <w:style w:type="paragraph" w:styleId="af">
    <w:name w:val="annotation subject"/>
    <w:basedOn w:val="a4"/>
    <w:next w:val="a4"/>
    <w:link w:val="af0"/>
    <w:uiPriority w:val="99"/>
    <w:semiHidden/>
    <w:unhideWhenUsed/>
    <w:qFormat/>
    <w:rPr>
      <w:b/>
      <w:bCs/>
    </w:rPr>
  </w:style>
  <w:style w:type="table" w:styleId="af1">
    <w:name w:val="Table Grid"/>
    <w:basedOn w:val="a1"/>
    <w:uiPriority w:val="59"/>
    <w:qFormat/>
    <w:rsid w:val="00CF7A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line number"/>
    <w:uiPriority w:val="99"/>
    <w:semiHidden/>
    <w:unhideWhenUsed/>
    <w:rsid w:val="00CF7A8A"/>
  </w:style>
  <w:style w:type="character" w:styleId="af3">
    <w:name w:val="Hyperlink"/>
    <w:uiPriority w:val="99"/>
    <w:unhideWhenUsed/>
    <w:qFormat/>
    <w:rPr>
      <w:color w:val="0563C1"/>
      <w:u w:val="single"/>
    </w:rPr>
  </w:style>
  <w:style w:type="character" w:styleId="af4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ad">
    <w:name w:val="页眉 字符"/>
    <w:link w:val="ac"/>
    <w:uiPriority w:val="99"/>
    <w:rsid w:val="00CF7A8A"/>
    <w:rPr>
      <w:rFonts w:ascii="Times New Roman" w:eastAsia="Times New Roman" w:hAnsi="Times New Roman"/>
      <w:kern w:val="2"/>
      <w:sz w:val="18"/>
      <w:szCs w:val="18"/>
    </w:rPr>
  </w:style>
  <w:style w:type="character" w:customStyle="1" w:styleId="ab">
    <w:name w:val="页脚 字符"/>
    <w:link w:val="aa"/>
    <w:uiPriority w:val="99"/>
    <w:rsid w:val="00CF7A8A"/>
    <w:rPr>
      <w:rFonts w:ascii="Times New Roman" w:eastAsia="Times New Roman" w:hAnsi="Times New Roman"/>
      <w:kern w:val="2"/>
      <w:sz w:val="18"/>
      <w:szCs w:val="18"/>
    </w:rPr>
  </w:style>
  <w:style w:type="character" w:customStyle="1" w:styleId="10">
    <w:name w:val="标题 1 字符"/>
    <w:aliases w:val="一级标题 字符"/>
    <w:link w:val="1"/>
    <w:uiPriority w:val="1"/>
    <w:rsid w:val="00CF7A8A"/>
    <w:rPr>
      <w:rFonts w:ascii="Times New Roman" w:eastAsia="Times New Roman" w:hAnsi="Times New Roman" w:cs="Book Antiqua"/>
      <w:b/>
      <w:bCs/>
      <w:sz w:val="24"/>
    </w:rPr>
  </w:style>
  <w:style w:type="character" w:customStyle="1" w:styleId="a7">
    <w:name w:val="正文文本 字符"/>
    <w:link w:val="a6"/>
    <w:uiPriority w:val="1"/>
    <w:rsid w:val="00CF7A8A"/>
    <w:rPr>
      <w:rFonts w:ascii="Times New Roman" w:eastAsia="Times New Roman" w:hAnsi="Times New Roman"/>
      <w:sz w:val="21"/>
      <w:szCs w:val="21"/>
    </w:rPr>
  </w:style>
  <w:style w:type="paragraph" w:styleId="af5">
    <w:name w:val="List Paragraph"/>
    <w:basedOn w:val="a"/>
    <w:uiPriority w:val="34"/>
    <w:qFormat/>
    <w:pPr>
      <w:autoSpaceDE w:val="0"/>
      <w:autoSpaceDN w:val="0"/>
      <w:adjustRightInd w:val="0"/>
      <w:spacing w:before="3"/>
      <w:ind w:left="561" w:right="126" w:hanging="431"/>
    </w:pPr>
    <w:rPr>
      <w:rFonts w:ascii="Book Antiqua" w:hAnsi="Book Antiqua" w:cs="Book Antiqua"/>
      <w:sz w:val="24"/>
      <w:szCs w:val="24"/>
    </w:rPr>
  </w:style>
  <w:style w:type="table" w:customStyle="1" w:styleId="5-11">
    <w:name w:val="网格表 5 深色 - 着色 11"/>
    <w:basedOn w:val="a1"/>
    <w:uiPriority w:val="50"/>
    <w:qFormat/>
    <w:rPr>
      <w:rFonts w:ascii="Times New Roman" w:eastAsia="宋体" w:hAnsi="Times New Roman"/>
    </w:rPr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table" w:customStyle="1" w:styleId="5-111">
    <w:name w:val="网格表 5 深色 - 着色 111"/>
    <w:basedOn w:val="a1"/>
    <w:uiPriority w:val="50"/>
    <w:qFormat/>
    <w:rPr>
      <w:rFonts w:ascii="Times New Roman" w:eastAsia="宋体" w:hAnsi="Times New Roman"/>
    </w:rPr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table" w:customStyle="1" w:styleId="5-112">
    <w:name w:val="网格表 5 深色 - 着色 112"/>
    <w:basedOn w:val="a1"/>
    <w:uiPriority w:val="50"/>
    <w:qFormat/>
    <w:rPr>
      <w:rFonts w:ascii="Times New Roman" w:eastAsia="宋体" w:hAnsi="Times New Roman"/>
    </w:rPr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character" w:customStyle="1" w:styleId="20">
    <w:name w:val="标题 2 字符"/>
    <w:aliases w:val="二级标题 字符"/>
    <w:link w:val="2"/>
    <w:uiPriority w:val="9"/>
    <w:rsid w:val="00CF7A8A"/>
    <w:rPr>
      <w:rFonts w:ascii="Times New Roman" w:eastAsia="Times New Roman" w:hAnsi="Times New Roman"/>
      <w:b/>
      <w:bCs/>
      <w:i/>
      <w:kern w:val="2"/>
      <w:sz w:val="22"/>
      <w:szCs w:val="21"/>
    </w:rPr>
  </w:style>
  <w:style w:type="character" w:customStyle="1" w:styleId="a9">
    <w:name w:val="批注框文本 字符"/>
    <w:basedOn w:val="a0"/>
    <w:link w:val="a8"/>
    <w:uiPriority w:val="99"/>
    <w:semiHidden/>
    <w:qFormat/>
    <w:rPr>
      <w:rFonts w:ascii="Times New Roman" w:eastAsia="Times New Roman" w:hAnsi="Times New Roman"/>
      <w:kern w:val="2"/>
      <w:sz w:val="18"/>
      <w:szCs w:val="18"/>
    </w:rPr>
  </w:style>
  <w:style w:type="character" w:customStyle="1" w:styleId="30">
    <w:name w:val="标题 3 字符"/>
    <w:aliases w:val="三级标题 字符"/>
    <w:link w:val="3"/>
    <w:uiPriority w:val="9"/>
    <w:rsid w:val="00CF7A8A"/>
    <w:rPr>
      <w:rFonts w:ascii="Times New Roman" w:eastAsia="Times New Roman" w:hAnsi="Times New Roman"/>
      <w:bCs/>
      <w:i/>
      <w:kern w:val="2"/>
      <w:sz w:val="22"/>
      <w:szCs w:val="32"/>
    </w:rPr>
  </w:style>
  <w:style w:type="character" w:customStyle="1" w:styleId="40">
    <w:name w:val="标题 4 字符"/>
    <w:link w:val="4"/>
    <w:uiPriority w:val="9"/>
    <w:rsid w:val="00CF7A8A"/>
    <w:rPr>
      <w:rFonts w:ascii="Calibri Light" w:eastAsia="NimbusRomNo9L" w:hAnsi="Calibri Light" w:cs="NimbusRomNo9L"/>
      <w:b/>
      <w:bCs/>
      <w:sz w:val="28"/>
      <w:szCs w:val="28"/>
    </w:rPr>
  </w:style>
  <w:style w:type="character" w:customStyle="1" w:styleId="50">
    <w:name w:val="标题 5 字符"/>
    <w:link w:val="5"/>
    <w:uiPriority w:val="9"/>
    <w:rsid w:val="00CF7A8A"/>
    <w:rPr>
      <w:rFonts w:ascii="Times New Roman" w:eastAsia="Times New Roman" w:hAnsi="Times New Roman"/>
      <w:b/>
      <w:bCs/>
      <w:kern w:val="2"/>
      <w:sz w:val="28"/>
      <w:szCs w:val="28"/>
    </w:rPr>
  </w:style>
  <w:style w:type="character" w:customStyle="1" w:styleId="60">
    <w:name w:val="标题 6 字符"/>
    <w:link w:val="6"/>
    <w:uiPriority w:val="9"/>
    <w:rsid w:val="00CF7A8A"/>
    <w:rPr>
      <w:rFonts w:ascii="等线 Light" w:eastAsia="等线 Light" w:hAnsi="等线 Light"/>
      <w:b/>
      <w:bCs/>
      <w:kern w:val="2"/>
      <w:sz w:val="24"/>
      <w:szCs w:val="24"/>
    </w:rPr>
  </w:style>
  <w:style w:type="character" w:customStyle="1" w:styleId="70">
    <w:name w:val="标题 7 字符"/>
    <w:link w:val="7"/>
    <w:uiPriority w:val="9"/>
    <w:rsid w:val="00CF7A8A"/>
    <w:rPr>
      <w:rFonts w:ascii="Times New Roman" w:eastAsia="Times New Roman" w:hAnsi="Times New Roman"/>
      <w:b/>
      <w:bCs/>
      <w:kern w:val="2"/>
      <w:sz w:val="24"/>
      <w:szCs w:val="24"/>
    </w:rPr>
  </w:style>
  <w:style w:type="character" w:customStyle="1" w:styleId="80">
    <w:name w:val="标题 8 字符"/>
    <w:link w:val="8"/>
    <w:uiPriority w:val="9"/>
    <w:rsid w:val="00CF7A8A"/>
    <w:rPr>
      <w:rFonts w:ascii="等线 Light" w:eastAsia="等线 Light" w:hAnsi="等线 Light"/>
      <w:kern w:val="2"/>
      <w:sz w:val="24"/>
      <w:szCs w:val="24"/>
    </w:rPr>
  </w:style>
  <w:style w:type="character" w:customStyle="1" w:styleId="90">
    <w:name w:val="标题 9 字符"/>
    <w:link w:val="9"/>
    <w:uiPriority w:val="9"/>
    <w:semiHidden/>
    <w:rsid w:val="00CF7A8A"/>
    <w:rPr>
      <w:rFonts w:ascii="等线 Light" w:eastAsia="等线 Light" w:hAnsi="等线 Light"/>
      <w:kern w:val="2"/>
      <w:sz w:val="21"/>
      <w:szCs w:val="21"/>
    </w:rPr>
  </w:style>
  <w:style w:type="paragraph" w:customStyle="1" w:styleId="af6">
    <w:name w:val="表题"/>
    <w:basedOn w:val="a"/>
    <w:autoRedefine/>
    <w:qFormat/>
    <w:rsid w:val="00C259F9"/>
    <w:pPr>
      <w:spacing w:beforeLines="100" w:before="297" w:afterLines="100" w:after="297"/>
      <w:ind w:firstLineChars="0" w:firstLine="0"/>
      <w:jc w:val="center"/>
    </w:pPr>
    <w:rPr>
      <w:b/>
    </w:rPr>
  </w:style>
  <w:style w:type="paragraph" w:customStyle="1" w:styleId="af7">
    <w:name w:val="表注"/>
    <w:basedOn w:val="af6"/>
    <w:autoRedefine/>
    <w:qFormat/>
    <w:rsid w:val="00CF7A8A"/>
    <w:pPr>
      <w:adjustRightInd w:val="0"/>
      <w:snapToGrid w:val="0"/>
      <w:spacing w:beforeLines="0" w:before="0" w:afterLines="0" w:after="0"/>
    </w:pPr>
    <w:rPr>
      <w:b w:val="0"/>
    </w:rPr>
  </w:style>
  <w:style w:type="paragraph" w:customStyle="1" w:styleId="af8">
    <w:name w:val="参考文献"/>
    <w:basedOn w:val="a"/>
    <w:autoRedefine/>
    <w:qFormat/>
    <w:rsid w:val="00CF7A8A"/>
    <w:pPr>
      <w:ind w:left="360" w:hangingChars="200" w:hanging="360"/>
    </w:pPr>
    <w:rPr>
      <w:rFonts w:eastAsia="等线"/>
      <w:sz w:val="18"/>
      <w:szCs w:val="24"/>
    </w:rPr>
  </w:style>
  <w:style w:type="paragraph" w:customStyle="1" w:styleId="af9">
    <w:name w:val="稿件类型"/>
    <w:basedOn w:val="a"/>
    <w:autoRedefine/>
    <w:qFormat/>
    <w:rsid w:val="00CF7A8A"/>
    <w:pPr>
      <w:ind w:firstLineChars="0" w:firstLine="0"/>
      <w:jc w:val="left"/>
    </w:pPr>
    <w:rPr>
      <w:rFonts w:eastAsia="宋体"/>
      <w:i/>
      <w:sz w:val="20"/>
    </w:rPr>
  </w:style>
  <w:style w:type="paragraph" w:customStyle="1" w:styleId="afa">
    <w:name w:val="关键词"/>
    <w:basedOn w:val="a"/>
    <w:autoRedefine/>
    <w:qFormat/>
    <w:rsid w:val="00CF7A8A"/>
    <w:pPr>
      <w:ind w:firstLineChars="0" w:firstLine="0"/>
    </w:pPr>
    <w:rPr>
      <w:noProof/>
    </w:rPr>
  </w:style>
  <w:style w:type="paragraph" w:customStyle="1" w:styleId="afb">
    <w:name w:val="机构信息"/>
    <w:basedOn w:val="a"/>
    <w:link w:val="afc"/>
    <w:autoRedefine/>
    <w:qFormat/>
    <w:rsid w:val="00CF7A8A"/>
    <w:pPr>
      <w:ind w:firstLineChars="0" w:firstLine="0"/>
    </w:pPr>
    <w:rPr>
      <w:i/>
    </w:rPr>
  </w:style>
  <w:style w:type="character" w:customStyle="1" w:styleId="afc">
    <w:name w:val="机构信息 字符"/>
    <w:link w:val="afb"/>
    <w:rsid w:val="00CF7A8A"/>
    <w:rPr>
      <w:rFonts w:ascii="Times New Roman" w:eastAsia="Times New Roman" w:hAnsi="Times New Roman"/>
      <w:i/>
      <w:kern w:val="2"/>
      <w:sz w:val="21"/>
      <w:szCs w:val="21"/>
    </w:rPr>
  </w:style>
  <w:style w:type="paragraph" w:customStyle="1" w:styleId="afd">
    <w:name w:val="接收日期"/>
    <w:basedOn w:val="a"/>
    <w:autoRedefine/>
    <w:qFormat/>
    <w:rsid w:val="00CF7A8A"/>
    <w:pPr>
      <w:ind w:firstLineChars="0" w:firstLine="0"/>
    </w:pPr>
  </w:style>
  <w:style w:type="paragraph" w:customStyle="1" w:styleId="afe">
    <w:name w:val="通讯作者"/>
    <w:basedOn w:val="a"/>
    <w:autoRedefine/>
    <w:qFormat/>
    <w:rsid w:val="00CF7A8A"/>
    <w:pPr>
      <w:ind w:firstLineChars="0" w:firstLine="0"/>
    </w:pPr>
  </w:style>
  <w:style w:type="paragraph" w:customStyle="1" w:styleId="aff">
    <w:name w:val="图注"/>
    <w:basedOn w:val="af7"/>
    <w:autoRedefine/>
    <w:qFormat/>
    <w:rsid w:val="00CF7A8A"/>
  </w:style>
  <w:style w:type="paragraph" w:customStyle="1" w:styleId="aff0">
    <w:name w:val="文章标题"/>
    <w:basedOn w:val="a"/>
    <w:link w:val="aff1"/>
    <w:autoRedefine/>
    <w:qFormat/>
    <w:rsid w:val="00CF7A8A"/>
    <w:pPr>
      <w:kinsoku w:val="0"/>
      <w:overflowPunct w:val="0"/>
      <w:autoSpaceDE w:val="0"/>
      <w:autoSpaceDN w:val="0"/>
      <w:adjustRightInd w:val="0"/>
      <w:ind w:firstLineChars="0" w:firstLine="0"/>
      <w:jc w:val="center"/>
    </w:pPr>
    <w:rPr>
      <w:b/>
      <w:bCs/>
      <w:spacing w:val="-8"/>
      <w:sz w:val="36"/>
      <w:szCs w:val="36"/>
    </w:rPr>
  </w:style>
  <w:style w:type="character" w:customStyle="1" w:styleId="aff1">
    <w:name w:val="文章标题 字符"/>
    <w:link w:val="aff0"/>
    <w:rsid w:val="00CF7A8A"/>
    <w:rPr>
      <w:rFonts w:ascii="Times New Roman" w:eastAsia="Times New Roman" w:hAnsi="Times New Roman"/>
      <w:b/>
      <w:bCs/>
      <w:spacing w:val="-8"/>
      <w:kern w:val="2"/>
      <w:sz w:val="36"/>
      <w:szCs w:val="36"/>
    </w:rPr>
  </w:style>
  <w:style w:type="paragraph" w:customStyle="1" w:styleId="aff2">
    <w:name w:val="文章内容"/>
    <w:basedOn w:val="a"/>
    <w:link w:val="aff3"/>
    <w:autoRedefine/>
    <w:rsid w:val="00CF7A8A"/>
    <w:pPr>
      <w:ind w:firstLine="420"/>
    </w:pPr>
    <w:rPr>
      <w:color w:val="000000"/>
    </w:rPr>
  </w:style>
  <w:style w:type="character" w:customStyle="1" w:styleId="aff3">
    <w:name w:val="文章内容 字符"/>
    <w:link w:val="aff2"/>
    <w:rsid w:val="00CF7A8A"/>
    <w:rPr>
      <w:rFonts w:ascii="Times New Roman" w:eastAsia="Times New Roman" w:hAnsi="Times New Roman"/>
      <w:color w:val="000000"/>
      <w:kern w:val="2"/>
      <w:sz w:val="21"/>
      <w:szCs w:val="21"/>
    </w:rPr>
  </w:style>
  <w:style w:type="paragraph" w:customStyle="1" w:styleId="aff4">
    <w:name w:val="摘要"/>
    <w:basedOn w:val="a"/>
    <w:autoRedefine/>
    <w:qFormat/>
    <w:rsid w:val="00CF7A8A"/>
    <w:pPr>
      <w:ind w:firstLineChars="0" w:firstLine="0"/>
    </w:pPr>
    <w:rPr>
      <w:noProof/>
    </w:rPr>
  </w:style>
  <w:style w:type="character" w:styleId="aff5">
    <w:name w:val="Placeholder Text"/>
    <w:uiPriority w:val="99"/>
    <w:semiHidden/>
    <w:rsid w:val="00CF7A8A"/>
    <w:rPr>
      <w:color w:val="808080"/>
    </w:rPr>
  </w:style>
  <w:style w:type="paragraph" w:customStyle="1" w:styleId="aff6">
    <w:name w:val="致谢部分"/>
    <w:basedOn w:val="a6"/>
    <w:link w:val="aff7"/>
    <w:autoRedefine/>
    <w:qFormat/>
    <w:rsid w:val="00CF7A8A"/>
    <w:pPr>
      <w:ind w:firstLineChars="0" w:firstLine="0"/>
    </w:pPr>
    <w:rPr>
      <w:b/>
      <w:sz w:val="24"/>
      <w:szCs w:val="24"/>
    </w:rPr>
  </w:style>
  <w:style w:type="character" w:customStyle="1" w:styleId="aff7">
    <w:name w:val="致谢部分 字符"/>
    <w:link w:val="aff6"/>
    <w:rsid w:val="00CF7A8A"/>
    <w:rPr>
      <w:rFonts w:ascii="Times New Roman" w:eastAsia="Times New Roman" w:hAnsi="Times New Roman"/>
      <w:b/>
      <w:sz w:val="24"/>
      <w:szCs w:val="24"/>
    </w:rPr>
  </w:style>
  <w:style w:type="paragraph" w:customStyle="1" w:styleId="aff8">
    <w:name w:val="作者信息"/>
    <w:basedOn w:val="a"/>
    <w:autoRedefine/>
    <w:qFormat/>
    <w:rsid w:val="00CF7A8A"/>
    <w:pPr>
      <w:ind w:firstLineChars="0" w:firstLine="0"/>
    </w:pPr>
  </w:style>
  <w:style w:type="character" w:customStyle="1" w:styleId="a5">
    <w:name w:val="批注文字 字符"/>
    <w:basedOn w:val="a0"/>
    <w:link w:val="a4"/>
    <w:uiPriority w:val="99"/>
    <w:semiHidden/>
    <w:qFormat/>
    <w:rPr>
      <w:rFonts w:ascii="Times New Roman" w:eastAsia="Times New Roman" w:hAnsi="Times New Roman"/>
      <w:kern w:val="2"/>
      <w:sz w:val="21"/>
      <w:szCs w:val="21"/>
    </w:rPr>
  </w:style>
  <w:style w:type="character" w:customStyle="1" w:styleId="af0">
    <w:name w:val="批注主题 字符"/>
    <w:basedOn w:val="a5"/>
    <w:link w:val="af"/>
    <w:uiPriority w:val="99"/>
    <w:semiHidden/>
    <w:rPr>
      <w:rFonts w:ascii="Times New Roman" w:eastAsia="Times New Roman" w:hAnsi="Times New Roman"/>
      <w:b/>
      <w:bCs/>
      <w:kern w:val="2"/>
      <w:sz w:val="21"/>
      <w:szCs w:val="21"/>
    </w:rPr>
  </w:style>
  <w:style w:type="character" w:customStyle="1" w:styleId="Aucun">
    <w:name w:val="Aucun"/>
    <w:rsid w:val="00297B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200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3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57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C437D47-5AEC-462C-962A-BD206005111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937</Words>
  <Characters>5345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Adminidtrator</dc:creator>
  <cp:lastModifiedBy>Kayla</cp:lastModifiedBy>
  <cp:revision>3</cp:revision>
  <cp:lastPrinted>2020-10-13T08:10:00Z</cp:lastPrinted>
  <dcterms:created xsi:type="dcterms:W3CDTF">2025-02-27T10:37:00Z</dcterms:created>
  <dcterms:modified xsi:type="dcterms:W3CDTF">2025-03-21T07:54:00Z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6569BB7F62F54F148106182CAD392B0B</vt:lpwstr>
  </property>
</Properties>
</file>